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Streitverkuendung</w:t>
      </w:r>
    </w:p>
    <w:p>
      <w:r>
        <w:t>An die Hannoversche Kaution und Industrie Versicherung AG, Police FL-DO-2023-448291</w:t>
      </w:r>
    </w:p>
    <w:p>
      <w:r>
        <w:t>Namens des Beklagten Sven Ohlendorf wird der Hannoverschen Kaution und Industrie Versicherung AG in dem Rechtsstreit Dr. Wittkopp ./. Ohlendorf, Az. 21 O 156/26, der Streit verkuendet, da der Beklagte im Falle des Unterliegens Deckungsanspruch aus der D&amp;O-Versicherung geltend machen wird.</w:t>
      </w:r>
    </w:p>
    <w:p>
      <w:r>
        <w:t>Dr. Cornelius Lohgerber</w:t>
        <w:br/>
        <w:t>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Lohgerber Voss Rechtsanwaelte PartG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LOHGERBER VOSS RECHTSANWAELTE PARTG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30175 Hannover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