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Kanzleinotiz Erstgespräch 16.04.2026</w:t>
      </w:r>
    </w:p>
    <w:p>
      <w:pPr>
        <w:jc w:val="left"/>
      </w:pPr>
      <w:r>
        <w:rPr>
          <w:b/>
        </w:rPr>
        <w:t>Aktenzeichen intern:</w:t>
      </w:r>
      <w:r>
        <w:t xml:space="preserve"> DWSP/2026/GR-4417</w:t>
      </w:r>
    </w:p>
    <w:p>
      <w:pPr>
        <w:jc w:val="left"/>
      </w:pPr>
      <w:r>
        <w:rPr>
          <w:b/>
        </w:rPr>
        <w:t>Mandant:</w:t>
      </w:r>
      <w:r>
        <w:t xml:space="preserve"> Küchenkönig Manufaktur GmbH &amp; Co. KG, Sennelager Str. 88, 33104 Paderborn</w:t>
      </w:r>
    </w:p>
    <w:p>
      <w:pPr>
        <w:jc w:val="left"/>
      </w:pPr>
      <w:r>
        <w:rPr>
          <w:b/>
        </w:rPr>
        <w:t>Datum:</w:t>
      </w:r>
      <w:r>
        <w:t xml:space="preserve"> 16. April 2026, 10:00–12:30 Uhr</w:t>
      </w:r>
    </w:p>
    <w:p>
      <w:pPr>
        <w:jc w:val="left"/>
      </w:pPr>
      <w:r>
        <w:rPr>
          <w:b/>
        </w:rPr>
        <w:t>Ort:</w:t>
      </w:r>
      <w:r>
        <w:t xml:space="preserve"> Kanzlei Drosselberg, Wegener, Sandtenbruch &amp; Partner, Kaiser-Wilhelm-Str. 44, 33602 Bielefeld</w:t>
      </w:r>
    </w:p>
    <w:p>
      <w:pPr>
        <w:jc w:val="left"/>
      </w:pPr>
      <w:r>
        <w:rPr>
          <w:b/>
        </w:rPr>
        <w:t>Anwesend:</w:t>
      </w:r>
      <w:r>
        <w:t xml:space="preserve"> Prof. Dr. Wieland Drosselberg (RA), Ass. iur. Miriam Sandtenbruch, Heinrich-Eberhard Geisen (GF), Cornelia Geisen-Wetterhof, Stefan Geisen</w:t>
      </w:r>
    </w:p>
    <w:p>
      <w:pPr>
        <w:jc w:val="left"/>
      </w:pPr>
      <w:r>
        <w:rPr>
          <w:b/>
        </w:rPr>
        <w:t>Protokoll:</w:t>
      </w:r>
      <w:r>
        <w:t xml:space="preserve"> Ass. iur. Miriam Sandtenbruch</w:t>
      </w:r>
    </w:p>
    <w:p/>
    <w:p>
      <w:pPr>
        <w:pStyle w:val="Heading2"/>
      </w:pPr>
      <w:r>
        <w:rPr>
          <w:rFonts w:ascii="Times New Roman" w:hAnsi="Times New Roman"/>
        </w:rPr>
        <w:t>1. Sachverhaltsaufnahme</w:t>
      </w:r>
    </w:p>
    <w:p>
      <w:pPr>
        <w:jc w:val="left"/>
      </w:pPr>
      <w:r>
        <w:t>Heinrich-Eberhard Geisen schildert den Sachverhalt in seiner Eigenschaft als Geschäftsführer der Komplementär-GmbH (Küchenkönig Verwaltungs-GmbH, HRB 9241 AG Paderborn) und zugleich als mittelbarer Gesellschafter über die Komplementär-GmbH (wirtschaftlicher Anteil 26 %). Er erscheint gemeinsam mit den Geschwistern Cornelia Geisen-Wetterhof (24 %) und Stefan Geisen (20 %) als Einheit der Familiengesellschafter.</w:t>
      </w:r>
    </w:p>
    <w:p>
      <w:pPr>
        <w:jc w:val="left"/>
      </w:pPr>
      <w:r>
        <w:t>Die Küchenkönig Manufaktur GmbH &amp; Co. KG (im Folgenden: „Gesellschaft") betreibt seit 1987 in Paderborn-Sennelager eine Manufaktur für gehobene Massivholzküchen. Schwerpunkte sind Einzelanfertigung nach Maß, Nussbaum- und Eichenholzverarbeitung sowie ein eigener Auslieferungs- und Montagedienst. Umsatz 2025: 24,5 Mio. EUR (VJ 22,8 Mio. EUR); EBITDA ca. 3,1 Mio. EUR; 95 Mitarbeiter davon 28 Schreiner in der Fertigung.</w:t>
      </w:r>
    </w:p>
    <w:p>
      <w:pPr>
        <w:pStyle w:val="Heading3"/>
      </w:pPr>
      <w:r>
        <w:rPr>
          <w:rFonts w:ascii="Times New Roman" w:hAnsi="Times New Roman"/>
        </w:rPr>
        <w:t>1.1 Auslöser des Mandats: Gesellschafterversammlung 14.04.2026</w:t>
      </w:r>
    </w:p>
    <w:p>
      <w:pPr>
        <w:jc w:val="left"/>
      </w:pPr>
      <w:r>
        <w:t>Am 14. April 2026 fand eine außerordentliche Gesellschafterversammlung statt, zu der die Wittmann Family Holding KG — vertreten durch ihren CFO Dr. Helmut Werthebach — am 28. März 2026 per Einschreiben/Rückschein eingeladen hatte. Einladungsfrist formal eingehalten (§ 51 Abs. 1 GmbHG analog: 2 Wochen). Tagesordnungspunkt 2 lautete:</w:t>
      </w:r>
    </w:p>
    <w:p>
      <w:pPr>
        <w:ind w:left="567"/>
      </w:pPr>
      <w:r>
        <w:rPr>
          <w:i/>
        </w:rPr>
        <w:t>„Beschluss über den Ausschluss der Familien-Kommanditisten (Cornelia Geisen-Wetterhof und Stefan Geisen) sowie der Komplementär-GmbH aus der Gesellschaft gegen Abfindung gemäß § 9 des Gesellschaftsvertrages (Buchwertabfindung)."</w:t>
      </w:r>
    </w:p>
    <w:p>
      <w:pPr>
        <w:jc w:val="left"/>
      </w:pPr>
      <w:r>
        <w:t>Die Abstimmung ergab: Wittmann Holding (30 % = 300.000 EUR Kapitalanteil) stimmte zu; Familie Geisen (insgesamt 70 % = 700.000 EUR Kapitalanteil) stimmte dagegen. Streitig ist bereits, ob Beschlussfähigkeit nach dem Gesellschaftsvertrag vorlag und ob die Mehrheitsklausel in § 9 GV rechtswirksam einen Squeeze-out ermöglicht.</w:t>
      </w:r>
    </w:p>
    <w:p>
      <w:pPr>
        <w:jc w:val="left"/>
      </w:pPr>
      <w:r>
        <w:t>Dr. Werthebach erklärte, die Wittmann Holding werde den Beschluss als wirksam behandeln und die Abfindung auf Basis der Buchwerte laut Bilanz 31.12.2025 (Gesamtabfindung: 3,4 Mio. EUR) anbieten. Der von der Mandantengruppe beauftragte Wirtschaftsprüfer Dr. Norbert Heidekämper (WP-Büro Heidekämper &amp; Söhne, Paderborn) hat den Ertragswert nach IDW S 1 mit 9,8 Mio. EUR ermittelt.</w:t>
      </w:r>
    </w:p>
    <w:p>
      <w:pPr>
        <w:pStyle w:val="Heading3"/>
      </w:pPr>
      <w:r>
        <w:rPr>
          <w:rFonts w:ascii="Times New Roman" w:hAnsi="Times New Roman"/>
        </w:rPr>
        <w:t>1.2 Weitere Konfliktfelder</w:t>
      </w:r>
    </w:p>
    <w:p>
      <w:pPr>
        <w:jc w:val="left"/>
      </w:pPr>
      <w:r>
        <w:rPr>
          <w:b/>
        </w:rPr>
        <w:t>Stille Gesellschaft Karlheinz Wetterhof:</w:t>
      </w:r>
      <w:r>
        <w:t xml:space="preserve"> Cornelia Geisen-Wetterhof berichtet, dass ihr Ehemann Karlheinz Wetterhof (Trennung seit November 2025) im Jahr 2019 eine stille Beteiligung an der Gesellschaft in Höhe von 200.000 EUR eingegangen ist. Der stille Gesellschaftsvertrag sieht eine feste Verzinsung von 4,5 % jährlich sowie eine Gewinnbeteiligung von 2 % vor. Karlheinz Wetterhof verlangt nun im Zuge der Trennungsauseinandersetzung die sofortige Kündigung der stillen Gesellschaft und volle Auseinandersetzung. Rechtlich: §§ 230–236 HGB; Auseinandersetzungsbilanz per 31.03.2026 noch nicht erstellt.</w:t>
      </w:r>
    </w:p>
    <w:p>
      <w:pPr>
        <w:jc w:val="left"/>
      </w:pPr>
      <w:r>
        <w:rPr>
          <w:b/>
        </w:rPr>
        <w:t>GF-Haftung Polska:</w:t>
      </w:r>
      <w:r>
        <w:t xml:space="preserve"> Stefan Geisen berichtet, sein Bruder Heinrich-Eberhard habe im Frühjahr 2024 ohne vorherigen Gesellschafterbeschluss eine Tochtergesellschaft in Polen gegründet (Küchenkönig Polska Sp. z o.o., Warschau, gegründet 12.03.2024) und dort 480.000 EUR investiert. Das polnische Tochterunternehmen hat nach Anlaufverlusten inzwischen den Betrieb eingestellt; die Investition ist in der Bilanz 2026 vollständig abzuschreiben. Stefan Geisen und Cornelia Geisen-Wetterhof fordern Haftungsklage gegen Heinrich-Eberhard Geisen gemäß § 43 GmbHG.</w:t>
      </w:r>
    </w:p>
    <w:p>
      <w:pPr>
        <w:jc w:val="left"/>
      </w:pPr>
      <w:r>
        <w:rPr>
          <w:b/>
        </w:rPr>
        <w:t>Wettbewerbsverbot Stefan Geisen:</w:t>
      </w:r>
      <w:r>
        <w:t xml:space="preserve"> Stefan Geisen hat die Absicht, die HolzART Paderborn UG zu gründen (ebenfalls Massivholzküchen, aber preiswertes Segment). Er bittet um rechtliche Einschätzung, ob das im Gesellschaftsvertrag vereinbarte nachvertragliche Wettbewerbsverbot (§ 14 GV, Laufzeit 2 Jahre, Umkreis 150 km) wirksam und durchsetzbar ist.</w:t>
      </w:r>
    </w:p>
    <w:p>
      <w:pPr>
        <w:jc w:val="left"/>
      </w:pPr>
      <w:r>
        <w:rPr>
          <w:b/>
        </w:rPr>
        <w:t>Handelsregisterstreit:</w:t>
      </w:r>
      <w:r>
        <w:t xml:space="preserve"> Das AG Paderborn hat am 07.03.2026 die Eintragung des Beschlusses zur Umstrukturierung der Gesellschaft in eine Investment-AG (Formwechsel gemäß §§ 190 ff. UmwG) abgelehnt. Die Kanzlei hat daraufhin am 15.03.2026 Beschwerde zum OLG Hamm erhoben (AZ: 27 Wx 22/26).</w:t>
      </w:r>
    </w:p>
    <w:p>
      <w:pPr>
        <w:jc w:val="left"/>
      </w:pPr>
      <w:r>
        <w:rPr>
          <w:b/>
        </w:rPr>
        <w:t>HinSchG-Meldung:</w:t>
      </w:r>
      <w:r>
        <w:t xml:space="preserve"> Anfang März 2026 ist bei der internen Meldestelle der Gesellschaft eine anonyme Hinweisgeber-Meldung eingegangen, die Bargeldunterschlagungen bei Auslieferungsfahrten zu Privatkunden in Höhe von insgesamt ca. 1,2 Mio. EUR über einen Zeitraum von 3 Jahren behauptet. Die interne Untersuchung ist von der Kanzlei DWSP zu führen.</w:t>
      </w:r>
    </w:p>
    <w:p/>
    <w:p>
      <w:pPr>
        <w:pStyle w:val="Heading2"/>
      </w:pPr>
      <w:r>
        <w:rPr>
          <w:rFonts w:ascii="Times New Roman" w:hAnsi="Times New Roman"/>
        </w:rPr>
        <w:t>2. Erteilte Mandate und nächste Schritte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Mandat</w:t>
            </w:r>
          </w:p>
        </w:tc>
        <w:tc>
          <w:tcPr>
            <w:tcW w:type="dxa" w:w="2268"/>
          </w:tcPr>
          <w:p>
            <w:r>
              <w:rPr>
                <w:rFonts w:ascii="Times New Roman" w:hAnsi="Times New Roman"/>
                <w:b/>
                <w:sz w:val="20"/>
              </w:rPr>
              <w:t>Zuständig</w:t>
            </w:r>
          </w:p>
        </w:tc>
        <w:tc>
          <w:tcPr>
            <w:tcW w:type="dxa" w:w="2268"/>
          </w:tcPr>
          <w:p>
            <w:r>
              <w:rPr>
                <w:rFonts w:ascii="Times New Roman" w:hAnsi="Times New Roman"/>
                <w:b/>
                <w:sz w:val="20"/>
              </w:rPr>
              <w:t>Priorität</w:t>
            </w:r>
          </w:p>
        </w:tc>
        <w:tc>
          <w:tcPr>
            <w:tcW w:type="dxa" w:w="2268"/>
          </w:tcPr>
          <w:p>
            <w:r>
              <w:rPr>
                <w:rFonts w:ascii="Times New Roman" w:hAnsi="Times New Roman"/>
                <w:b/>
                <w:sz w:val="20"/>
              </w:rPr>
              <w:t>Frist</w:t>
            </w:r>
          </w:p>
        </w:tc>
      </w:tr>
      <w:tr>
        <w:tc>
          <w:tcPr>
            <w:tcW w:type="dxa" w:w="2268"/>
          </w:tcPr>
          <w:p>
            <w:r>
              <w:rPr>
                <w:rFonts w:ascii="Times New Roman" w:hAnsi="Times New Roman"/>
                <w:sz w:val="20"/>
              </w:rPr>
              <w:t>Anfechtungsklage Squeeze-out-Beschluss LG Bielefeld</w:t>
            </w:r>
          </w:p>
        </w:tc>
        <w:tc>
          <w:tcPr>
            <w:tcW w:type="dxa" w:w="2268"/>
          </w:tcPr>
          <w:p>
            <w:r>
              <w:rPr>
                <w:rFonts w:ascii="Times New Roman" w:hAnsi="Times New Roman"/>
                <w:sz w:val="20"/>
              </w:rPr>
              <w:t>Prof. Dr. Drosselberg</w:t>
            </w:r>
          </w:p>
        </w:tc>
        <w:tc>
          <w:tcPr>
            <w:tcW w:type="dxa" w:w="2268"/>
          </w:tcPr>
          <w:p>
            <w:r>
              <w:rPr>
                <w:rFonts w:ascii="Times New Roman" w:hAnsi="Times New Roman"/>
                <w:sz w:val="20"/>
              </w:rPr>
              <w:t>Hoch</w:t>
            </w:r>
          </w:p>
        </w:tc>
        <w:tc>
          <w:tcPr>
            <w:tcW w:type="dxa" w:w="2268"/>
          </w:tcPr>
          <w:p>
            <w:r>
              <w:rPr>
                <w:rFonts w:ascii="Times New Roman" w:hAnsi="Times New Roman"/>
                <w:sz w:val="20"/>
              </w:rPr>
              <w:t>29.04.2026 (Monatsfrist § 246 Abs. 1 AktG analog)</w:t>
            </w:r>
          </w:p>
        </w:tc>
      </w:tr>
      <w:tr>
        <w:tc>
          <w:tcPr>
            <w:tcW w:type="dxa" w:w="2268"/>
          </w:tcPr>
          <w:p>
            <w:r>
              <w:rPr>
                <w:rFonts w:ascii="Times New Roman" w:hAnsi="Times New Roman"/>
                <w:sz w:val="20"/>
              </w:rPr>
              <w:t>Gegengutachten IDW S 1 beauftragen</w:t>
            </w:r>
          </w:p>
        </w:tc>
        <w:tc>
          <w:tcPr>
            <w:tcW w:type="dxa" w:w="2268"/>
          </w:tcPr>
          <w:p>
            <w:r>
              <w:rPr>
                <w:rFonts w:ascii="Times New Roman" w:hAnsi="Times New Roman"/>
                <w:sz w:val="20"/>
              </w:rPr>
              <w:t>Ass. Sandtenbruch</w:t>
            </w:r>
          </w:p>
        </w:tc>
        <w:tc>
          <w:tcPr>
            <w:tcW w:type="dxa" w:w="2268"/>
          </w:tcPr>
          <w:p>
            <w:r>
              <w:rPr>
                <w:rFonts w:ascii="Times New Roman" w:hAnsi="Times New Roman"/>
                <w:sz w:val="20"/>
              </w:rPr>
              <w:t>Hoch</w:t>
            </w:r>
          </w:p>
        </w:tc>
        <w:tc>
          <w:tcPr>
            <w:tcW w:type="dxa" w:w="2268"/>
          </w:tcPr>
          <w:p>
            <w:r>
              <w:rPr>
                <w:rFonts w:ascii="Times New Roman" w:hAnsi="Times New Roman"/>
                <w:sz w:val="20"/>
              </w:rPr>
              <w:t>23.04.2026</w:t>
            </w:r>
          </w:p>
        </w:tc>
      </w:tr>
      <w:tr>
        <w:tc>
          <w:tcPr>
            <w:tcW w:type="dxa" w:w="2268"/>
          </w:tcPr>
          <w:p>
            <w:r>
              <w:rPr>
                <w:rFonts w:ascii="Times New Roman" w:hAnsi="Times New Roman"/>
                <w:sz w:val="20"/>
              </w:rPr>
              <w:t>Stille Gesellschaft: Auseinandersetzungsbilanz</w:t>
            </w:r>
          </w:p>
        </w:tc>
        <w:tc>
          <w:tcPr>
            <w:tcW w:type="dxa" w:w="2268"/>
          </w:tcPr>
          <w:p>
            <w:r>
              <w:rPr>
                <w:rFonts w:ascii="Times New Roman" w:hAnsi="Times New Roman"/>
                <w:sz w:val="20"/>
              </w:rPr>
              <w:t>Wegener</w:t>
            </w:r>
          </w:p>
        </w:tc>
        <w:tc>
          <w:tcPr>
            <w:tcW w:type="dxa" w:w="2268"/>
          </w:tcPr>
          <w:p>
            <w:r>
              <w:rPr>
                <w:rFonts w:ascii="Times New Roman" w:hAnsi="Times New Roman"/>
                <w:sz w:val="20"/>
              </w:rPr>
              <w:t>Mittel</w:t>
            </w:r>
          </w:p>
        </w:tc>
        <w:tc>
          <w:tcPr>
            <w:tcW w:type="dxa" w:w="2268"/>
          </w:tcPr>
          <w:p>
            <w:r>
              <w:rPr>
                <w:rFonts w:ascii="Times New Roman" w:hAnsi="Times New Roman"/>
                <w:sz w:val="20"/>
              </w:rPr>
              <w:t>15.05.2026</w:t>
            </w:r>
          </w:p>
        </w:tc>
      </w:tr>
      <w:tr>
        <w:tc>
          <w:tcPr>
            <w:tcW w:type="dxa" w:w="2268"/>
          </w:tcPr>
          <w:p>
            <w:r>
              <w:rPr>
                <w:rFonts w:ascii="Times New Roman" w:hAnsi="Times New Roman"/>
                <w:sz w:val="20"/>
              </w:rPr>
              <w:t>GF-Haftungsklage § 43 GmbHG vorbereiten</w:t>
            </w:r>
          </w:p>
        </w:tc>
        <w:tc>
          <w:tcPr>
            <w:tcW w:type="dxa" w:w="2268"/>
          </w:tcPr>
          <w:p>
            <w:r>
              <w:rPr>
                <w:rFonts w:ascii="Times New Roman" w:hAnsi="Times New Roman"/>
                <w:sz w:val="20"/>
              </w:rPr>
              <w:t>Prof. Dr. Drosselberg</w:t>
            </w:r>
          </w:p>
        </w:tc>
        <w:tc>
          <w:tcPr>
            <w:tcW w:type="dxa" w:w="2268"/>
          </w:tcPr>
          <w:p>
            <w:r>
              <w:rPr>
                <w:rFonts w:ascii="Times New Roman" w:hAnsi="Times New Roman"/>
                <w:sz w:val="20"/>
              </w:rPr>
              <w:t>Mittel</w:t>
            </w:r>
          </w:p>
        </w:tc>
        <w:tc>
          <w:tcPr>
            <w:tcW w:type="dxa" w:w="2268"/>
          </w:tcPr>
          <w:p>
            <w:r>
              <w:rPr>
                <w:rFonts w:ascii="Times New Roman" w:hAnsi="Times New Roman"/>
                <w:sz w:val="20"/>
              </w:rPr>
              <w:t>30.05.2026</w:t>
            </w:r>
          </w:p>
        </w:tc>
      </w:tr>
      <w:tr>
        <w:tc>
          <w:tcPr>
            <w:tcW w:type="dxa" w:w="2268"/>
          </w:tcPr>
          <w:p>
            <w:r>
              <w:rPr>
                <w:rFonts w:ascii="Times New Roman" w:hAnsi="Times New Roman"/>
                <w:sz w:val="20"/>
              </w:rPr>
              <w:t>Registerbeschwerde OLG Hamm verfolgen</w:t>
            </w:r>
          </w:p>
        </w:tc>
        <w:tc>
          <w:tcPr>
            <w:tcW w:type="dxa" w:w="2268"/>
          </w:tcPr>
          <w:p>
            <w:r>
              <w:rPr>
                <w:rFonts w:ascii="Times New Roman" w:hAnsi="Times New Roman"/>
                <w:sz w:val="20"/>
              </w:rPr>
              <w:t>Sandtenbruch</w:t>
            </w:r>
          </w:p>
        </w:tc>
        <w:tc>
          <w:tcPr>
            <w:tcW w:type="dxa" w:w="2268"/>
          </w:tcPr>
          <w:p>
            <w:r>
              <w:rPr>
                <w:rFonts w:ascii="Times New Roman" w:hAnsi="Times New Roman"/>
                <w:sz w:val="20"/>
              </w:rPr>
              <w:t>Mittel</w:t>
            </w:r>
          </w:p>
        </w:tc>
        <w:tc>
          <w:tcPr>
            <w:tcW w:type="dxa" w:w="2268"/>
          </w:tcPr>
          <w:p>
            <w:r>
              <w:rPr>
                <w:rFonts w:ascii="Times New Roman" w:hAnsi="Times New Roman"/>
                <w:sz w:val="20"/>
              </w:rPr>
              <w:t>laufend</w:t>
            </w:r>
          </w:p>
        </w:tc>
      </w:tr>
      <w:tr>
        <w:tc>
          <w:tcPr>
            <w:tcW w:type="dxa" w:w="2268"/>
          </w:tcPr>
          <w:p>
            <w:r>
              <w:rPr>
                <w:rFonts w:ascii="Times New Roman" w:hAnsi="Times New Roman"/>
                <w:sz w:val="20"/>
              </w:rPr>
              <w:t>HinSchG-Untersuchung koordinieren</w:t>
            </w:r>
          </w:p>
        </w:tc>
        <w:tc>
          <w:tcPr>
            <w:tcW w:type="dxa" w:w="2268"/>
          </w:tcPr>
          <w:p>
            <w:r>
              <w:rPr>
                <w:rFonts w:ascii="Times New Roman" w:hAnsi="Times New Roman"/>
                <w:sz w:val="20"/>
              </w:rPr>
              <w:t>Kanzlei DWSP</w:t>
            </w:r>
          </w:p>
        </w:tc>
        <w:tc>
          <w:tcPr>
            <w:tcW w:type="dxa" w:w="2268"/>
          </w:tcPr>
          <w:p>
            <w:r>
              <w:rPr>
                <w:rFonts w:ascii="Times New Roman" w:hAnsi="Times New Roman"/>
                <w:sz w:val="20"/>
              </w:rPr>
              <w:t>Hoch</w:t>
            </w:r>
          </w:p>
        </w:tc>
        <w:tc>
          <w:tcPr>
            <w:tcW w:type="dxa" w:w="2268"/>
          </w:tcPr>
          <w:p>
            <w:r>
              <w:rPr>
                <w:rFonts w:ascii="Times New Roman" w:hAnsi="Times New Roman"/>
                <w:sz w:val="20"/>
              </w:rPr>
              <w:t>sofort</w:t>
            </w:r>
          </w:p>
        </w:tc>
      </w:tr>
    </w:tbl>
    <w:p/>
    <w:p>
      <w:pPr>
        <w:pStyle w:val="Heading2"/>
      </w:pPr>
      <w:r>
        <w:rPr>
          <w:rFonts w:ascii="Times New Roman" w:hAnsi="Times New Roman"/>
        </w:rPr>
        <w:t>3. Interessenkollision</w:t>
      </w:r>
    </w:p>
    <w:p>
      <w:pPr>
        <w:jc w:val="left"/>
      </w:pPr>
      <w:r>
        <w:t>Geprüft: Interessenkollision zwischen Heinrich-Eberhard Geisen (GF-Haftungsklage) einerseits und Cornelia Geisen-Wetterhof / Stefan Geisen andererseits ist latent vorhanden. Alle drei haben die Kanzlei gemeinsam mandatiert mit ausdrücklichem Einverständnis und dem Vorbehalt, dass bei konkreter Kollision getrennte Vertretung erfolgt. Schriftliche Entbindungserklärung zu fertigen (vgl. § 43a Abs. 4 BRAO).</w:t>
      </w:r>
    </w:p>
    <w:p/>
    <w:p>
      <w:pPr>
        <w:pStyle w:val="Heading2"/>
      </w:pPr>
      <w:r>
        <w:rPr>
          <w:rFonts w:ascii="Times New Roman" w:hAnsi="Times New Roman"/>
        </w:rPr>
        <w:t>4. Vollmacht</w:t>
      </w:r>
    </w:p>
    <w:p>
      <w:pPr>
        <w:jc w:val="left"/>
      </w:pPr>
      <w:r>
        <w:t>Prozessvollmacht für LG Bielefeld und OLG Hamm wird gesondert unterzeichnet. Vorentwurf bereits übergeben (s. Aktenstück 21).</w:t>
      </w:r>
    </w:p>
    <w:p/>
    <w:p>
      <w:pPr>
        <w:pStyle w:val="Heading2"/>
      </w:pPr>
      <w:r>
        <w:rPr>
          <w:rFonts w:ascii="Times New Roman" w:hAnsi="Times New Roman"/>
        </w:rPr>
        <w:t>5. Honorarvereinbarung</w:t>
      </w:r>
    </w:p>
    <w:p>
      <w:pPr>
        <w:jc w:val="left"/>
      </w:pPr>
      <w:r>
        <w:t>Stundensatz Prof. Dr. Drosselberg: 480 EUR netto; Ass. Sandtenbruch: 210 EUR netto. Vorschuss angefordert: 15.000 EUR, fällig 23.04.2026. Streitwert LG-Klage vorläufig: 6,4 Mio. EUR (Differenz Ertragswert minus Buchwertabfindung).</w:t>
      </w:r>
    </w:p>
    <w:p/>
    <w:p>
      <w:pPr>
        <w:jc w:val="left"/>
      </w:pPr>
      <w:r>
        <w:rPr>
          <w:i/>
        </w:rPr>
        <w:t>Erstellt: 16.04.2026 — Miriam Sandtenbruch, Ass. iur.</w:t>
      </w:r>
    </w:p>
    <w:p>
      <w:pPr>
        <w:jc w:val="left"/>
      </w:pPr>
      <w:r>
        <w:rPr>
          <w:i/>
        </w:rPr>
        <w:t>Geprüft: 17.04.2026 — Prof. Dr. Wieland Drosselberg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Küchenkönig Manufaktur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Küchenkönig Manufaktur GmbH &amp; Co. KG</w:t>
    </w:r>
  </w:p>
  <w:p>
    <w:pPr>
      <w:jc w:val="left"/>
      <w:pBdr>
        <w:bottom w:val="single" w:sz="6" w:space="2" w:color="8A6A1F"/>
      </w:pBdr>
    </w:pPr>
    <w:r>
      <w:rPr>
        <w:rFonts w:ascii="Times New Roman" w:hAnsi="Times New Roman"/>
        <w:color w:val="6B6B66"/>
        <w:sz w:val="16"/>
      </w:rPr>
      <w:t>Sennelager Str. 88, 33104 Paderborn · Aktenzeichen intern: DWSP/2026/GR-4417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