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Squeeze-out in der GmbH &amp; Co. KG: Rechtslage und BGH-Rechtsprechung</w:t>
      </w:r>
    </w:p>
    <w:p>
      <w:pPr>
        <w:jc w:val="left"/>
      </w:pPr>
      <w:r>
        <w:rPr>
          <w:b/>
        </w:rPr>
        <w:t>Akte:</w:t>
      </w:r>
      <w:r>
        <w:t xml:space="preserve"> DWSP/2026/GR-4417</w:t>
      </w:r>
    </w:p>
    <w:p>
      <w:pPr>
        <w:jc w:val="left"/>
      </w:pPr>
      <w:r>
        <w:rPr>
          <w:b/>
        </w:rPr>
        <w:t>Erstellt:</w:t>
      </w:r>
      <w:r>
        <w:t xml:space="preserve"> 20.04.2026</w:t>
      </w:r>
    </w:p>
    <w:p>
      <w:pPr>
        <w:jc w:val="left"/>
      </w:pPr>
      <w:r>
        <w:rPr>
          <w:b/>
        </w:rPr>
        <w:t>Bearbeiter:</w:t>
      </w:r>
      <w:r>
        <w:t xml:space="preserve"> Prof. Dr. Wieland Drosselberg</w:t>
      </w:r>
    </w:p>
    <w:p/>
    <w:p>
      <w:pPr>
        <w:pStyle w:val="Heading2"/>
      </w:pPr>
      <w:r>
        <w:rPr>
          <w:rFonts w:ascii="Times New Roman" w:hAnsi="Times New Roman"/>
        </w:rPr>
        <w:t>1. Fehlen eines gesetzlichen Squeeze-out im Personengesellschaftsrecht</w:t>
      </w:r>
    </w:p>
    <w:p>
      <w:pPr>
        <w:jc w:val="left"/>
      </w:pPr>
      <w:r>
        <w:t>Das deutsche Personengesellschaftsrecht kennt bis heute keinen gesetzlich geregelten Squeeze-out-Mechanismus vergleichbar den §§ 327a ff. AktG. Das Personengesellschaftsrechtliche Modernisierungsgesetz (MoPeG, BGBl. 2021 I S. 3436, in Kraft 01.01.2024) hat hieran nichts geändert. Für die GmbH &amp; Co. KG gelten folgende Rechtsgrundlagen:</w:t>
      </w:r>
    </w:p>
    <w:p>
      <w:pPr>
        <w:pStyle w:val="Heading3"/>
      </w:pPr>
      <w:r>
        <w:rPr>
          <w:rFonts w:ascii="Times New Roman" w:hAnsi="Times New Roman"/>
        </w:rPr>
        <w:t>1.1 Gesellschaftsvertraglicher Ausschluss</w:t>
      </w:r>
    </w:p>
    <w:p>
      <w:pPr>
        <w:jc w:val="left"/>
      </w:pPr>
      <w:r>
        <w:t>Der Gesellschaftsvertrag kann einen Ausschlussgrund vorsehen. Dabei unterscheidet die Rechtsprechung:</w:t>
      </w:r>
    </w:p>
    <w:p>
      <w:pPr>
        <w:jc w:val="left"/>
      </w:pPr>
      <w:r>
        <w:rPr>
          <w:b/>
        </w:rPr>
        <w:t>a) Ausschluss aus wichtigem Grund (§ 133 HGB a.F. / § 138 HGB n.F. nach MoPeG):</w:t>
      </w:r>
    </w:p>
    <w:p>
      <w:pPr>
        <w:jc w:val="left"/>
      </w:pPr>
      <w:r>
        <w:t>Nach dem MoPeG kann ein Gesellschafter aus wichtigem Grund durch gerichtliche Entscheidung oder — soweit vertraglich vorgesehen — durch Gesellschafterbeschluss ausgeschlossen werden. Ein wichtiger Grund liegt vor, wenn dem ausschließenden Gesellschafter das Verbleiben des anderen nicht mehr zuzumuten ist. Die bloße Ausübung legitimer Stimmrechte (z.B. Ablehnung einer Investition) reicht hierfür nicht aus (BGH, Urt. v. 13.01.2003, II ZR 282/01, BGHZ 153, 285).</w:t>
      </w:r>
    </w:p>
    <w:p>
      <w:pPr>
        <w:jc w:val="left"/>
      </w:pPr>
      <w:r>
        <w:rPr>
          <w:b/>
        </w:rPr>
        <w:t>b) Ausschluss ohne wichtigen Grund (sog. „Hinauskündigung"):</w:t>
      </w:r>
    </w:p>
    <w:p>
      <w:pPr>
        <w:jc w:val="left"/>
      </w:pPr>
      <w:r>
        <w:t>Klauseln, die einen Gesellschafter ohne wichtigen Grund ausschließen (z.B. reine Stimmrechtsklauseln), sind grundsätzlich nichtig, sofern sie sittenwidrig sind. Die Rechtsprechung differenziert: Nur bei sachlichem Grund für die Ungleichbehandlung (z.B. nachträgliche Bindung neuer Mitarbeiter-Gesellschafter, Geschäftsführer-Abberufung) wird die Klausel ausnahmsweise anerkannt (BGH, Urt. v. 19.09.2005, II ZR 259/03 — „Hinauskündigung"; BGH, Urt. v. 11.12.2006, II ZR 166/05).</w:t>
      </w:r>
    </w:p>
    <w:p/>
    <w:p>
      <w:pPr>
        <w:pStyle w:val="Heading2"/>
      </w:pPr>
      <w:r>
        <w:rPr>
          <w:rFonts w:ascii="Times New Roman" w:hAnsi="Times New Roman"/>
        </w:rPr>
        <w:t>2. Die Squeeze-out-Klausel in § 9 GV: Rechtsprechungsvergleich</w:t>
      </w:r>
    </w:p>
    <w:p>
      <w:pPr>
        <w:pStyle w:val="Heading3"/>
      </w:pPr>
      <w:r>
        <w:rPr>
          <w:rFonts w:ascii="Times New Roman" w:hAnsi="Times New Roman"/>
        </w:rPr>
        <w:t>2.1 Sachlicher Grund erforderlich</w:t>
      </w:r>
    </w:p>
    <w:p>
      <w:pPr>
        <w:jc w:val="left"/>
      </w:pPr>
      <w:r>
        <w:t>Der BGH hat in seiner Entscheidung vom 19.10.2009 (II ZR 240/08) — „Rheuma-Kolloq" — klargestellt, dass Gesellschaftsvertragsklauseln, die eine Minderheit ohne sachlichen Grund ausschließen, nichtig sind. Im vorliegenden Fall:</w:t>
      </w:r>
    </w:p>
    <w:p>
      <w:pPr>
        <w:pStyle w:val="ListBullet"/>
      </w:pPr>
      <w:r>
        <w:rPr>
          <w:b/>
        </w:rPr>
        <w:t>Behaupteter Grund:</w:t>
      </w:r>
      <w:r>
        <w:t xml:space="preserve"> „Blockadehaltung" der Geisen-Familie</w:t>
      </w:r>
    </w:p>
    <w:p>
      <w:pPr>
        <w:pStyle w:val="ListBullet"/>
      </w:pPr>
      <w:r>
        <w:rPr>
          <w:b/>
        </w:rPr>
        <w:t>Tatsächliche Sachlage:</w:t>
      </w:r>
      <w:r>
        <w:t xml:space="preserve"> Geisen-Familie hat mit 70 % legitim gegen die Polska-Genehmigung und gegen den Squeeze-out gestimmt</w:t>
      </w:r>
    </w:p>
    <w:p>
      <w:pPr>
        <w:pStyle w:val="ListBullet"/>
      </w:pPr>
      <w:r>
        <w:rPr>
          <w:b/>
        </w:rPr>
        <w:t>Bewertung:</w:t>
      </w:r>
      <w:r>
        <w:t xml:space="preserve"> Kein sachlicher Grund; die Mehrheit einer Gesellschaftergruppe zu benutzen, um die eigene Minderheitsposition als Ausschlussgrund zu konstruieren, ist rechtsmissbräuchlich</w:t>
      </w:r>
    </w:p>
    <w:p>
      <w:pPr>
        <w:pStyle w:val="Heading3"/>
      </w:pPr>
      <w:r>
        <w:rPr>
          <w:rFonts w:ascii="Times New Roman" w:hAnsi="Times New Roman"/>
        </w:rPr>
        <w:t>2.2 Mehrheitserfordernis</w:t>
      </w:r>
    </w:p>
    <w:p>
      <w:pPr>
        <w:jc w:val="left"/>
      </w:pPr>
      <w:r>
        <w:t>In der GV-Praxis der GmbH &amp; Co. KG wird ein Squeeze-out gegen einen oder mehrere Gesellschafter regelmäßig nur durch einstimmigen Beschluss der verbleibenden Gesellschafter oder durch eine qualifizierte, gesellschaftsvertraglich genau definierte Mehrheit möglich. § 9 Abs. 1 GV spricht von einem „Beschluss der übrigen Gesellschafter" — was grammatisch und teleologisch einen Beschluss aller nicht betroffenen Gesellschafter erfordert. Da Wittmann alleinige Antragstellerin ist und die Geisen-Familie (als einzige „übrige" Gesellschafter) geschlossen dagegen gestimmt hat, fehlt es an der erforderlichen Mehrheit.</w:t>
      </w:r>
    </w:p>
    <w:p>
      <w:pPr>
        <w:pStyle w:val="Heading3"/>
      </w:pPr>
      <w:r>
        <w:rPr>
          <w:rFonts w:ascii="Times New Roman" w:hAnsi="Times New Roman"/>
        </w:rPr>
        <w:t>2.3 Abfindungsmaßstab</w:t>
      </w:r>
    </w:p>
    <w:p>
      <w:pPr>
        <w:jc w:val="left"/>
      </w:pPr>
      <w:r>
        <w:rPr>
          <w:b/>
        </w:rPr>
        <w:t>BGH zur Buchwertklausel (BGHZ 116, 359 — „Buchwertklausel I"):</w:t>
      </w:r>
      <w:r>
        <w:t xml:space="preserve"> Eine vertragliche Beschränkung der Abfindung auf den Buchwert ist zulässig, soweit der Buchwert und der Verkehrswert nicht erheblich voneinander abweichen. Eine unangemessene Beschränkung (erhebliche Diskrepanz) macht die Klausel sittenwidrig.</w:t>
      </w:r>
    </w:p>
    <w:p>
      <w:pPr>
        <w:jc w:val="left"/>
      </w:pPr>
      <w:r>
        <w:rPr>
          <w:b/>
        </w:rPr>
        <w:t>Prüfungsmaßstab:</w:t>
      </w:r>
    </w:p>
    <w:p>
      <w:pPr>
        <w:jc w:val="left"/>
      </w:pPr>
      <w:r>
        <w:t>Im vorliegenden Fall beträgt der Buchwert 3,4 Mio. EUR; der Ertragswert nach IDW S 1 beläuft sich auf 9,8 Mio. EUR. Die Abweichung beträgt 6,4 Mio. EUR bzw. 188 %. Nach der Rechtsprechung des BGH (II ZR 104/92, BGHZ 123, 281 — „Buchwertklausel II") ist eine solche gravierende Diskrepanz eindeutig als sittenwidrig einzustufen. Die Klausel ist gemäß § 138 Abs. 1 BGB nichtig.</w:t>
      </w:r>
    </w:p>
    <w:p>
      <w:pPr>
        <w:jc w:val="left"/>
      </w:pPr>
      <w:r>
        <w:rPr>
          <w:b/>
        </w:rPr>
        <w:t>Rechtsfolge der Nichtigkeit der Abfindungsklausel:</w:t>
      </w:r>
      <w:r>
        <w:t xml:space="preserve"> Tritt an die Stelle der nichtigen Klausel der gesetzliche Abfindungsanspruch; dieser bemisst sich nach dem Verkehrswert des Anteils zum Zeitpunkt des Ausschlusses (BGH II ZR 27/87, BGHZ 105, 168).</w:t>
      </w:r>
    </w:p>
    <w:p/>
    <w:p>
      <w:pPr>
        <w:pStyle w:val="Heading2"/>
      </w:pPr>
      <w:r>
        <w:rPr>
          <w:rFonts w:ascii="Times New Roman" w:hAnsi="Times New Roman"/>
        </w:rPr>
        <w:t>3. Einstweiliger Rechtsschutz</w:t>
      </w:r>
    </w:p>
    <w:p>
      <w:pPr>
        <w:pStyle w:val="Heading3"/>
      </w:pPr>
      <w:r>
        <w:rPr>
          <w:rFonts w:ascii="Times New Roman" w:hAnsi="Times New Roman"/>
        </w:rPr>
        <w:t>3.1 Einstweilige Verfügung auf Unterlassung</w:t>
      </w:r>
    </w:p>
    <w:p>
      <w:pPr>
        <w:jc w:val="left"/>
      </w:pPr>
      <w:r>
        <w:t>Parallel zur Anfechtungsklage ist zu prüfen, ob eine einstweilige Verfügung des LG Bielefeld erwirkt werden kann, mit der der Wittmann Holding untersagt wird:</w:t>
      </w:r>
    </w:p>
    <w:p>
      <w:pPr>
        <w:pStyle w:val="ListBullet"/>
      </w:pPr>
      <w:r>
        <w:t>Den Beschluss als vollzogen zu behandeln</w:t>
      </w:r>
    </w:p>
    <w:p>
      <w:pPr>
        <w:pStyle w:val="ListBullet"/>
      </w:pPr>
      <w:r>
        <w:t>Schritte zur Eintragung des Ausschlusses in das Handelsregister zu unternehmen</w:t>
      </w:r>
    </w:p>
    <w:p>
      <w:pPr>
        <w:pStyle w:val="ListBullet"/>
      </w:pPr>
      <w:r>
        <w:t>Die Geisen-Familie aus der Geschäftsführung zu verdrängen</w:t>
      </w:r>
    </w:p>
    <w:p>
      <w:pPr>
        <w:jc w:val="left"/>
      </w:pPr>
      <w:r>
        <w:rPr>
          <w:b/>
        </w:rPr>
        <w:t>Verfügungsanspruch:</w:t>
      </w:r>
      <w:r>
        <w:t xml:space="preserve"> Gegeben (Nichtigkeit des Beschlusses, s.o.)</w:t>
      </w:r>
    </w:p>
    <w:p>
      <w:pPr>
        <w:jc w:val="left"/>
      </w:pPr>
      <w:r>
        <w:rPr>
          <w:b/>
        </w:rPr>
        <w:t>Verfügungsgrund:</w:t>
      </w:r>
      <w:r>
        <w:t xml:space="preserve"> Die Wittmann Holding hat angekündigt, den Ausschluss unverzüglich ins Handelsregister einzutragen. Damit drohen irreversible Schäden (Verlust der Gesellschafterstellung, Kontrollverlust, steuerliche Nachteile). Eilbedürftigkeit (+)</w:t>
      </w:r>
    </w:p>
    <w:p>
      <w:pPr>
        <w:jc w:val="left"/>
      </w:pPr>
      <w:r>
        <w:rPr>
          <w:b/>
        </w:rPr>
        <w:t>Zuständiges Gericht:</w:t>
      </w:r>
      <w:r>
        <w:t xml:space="preserve"> LG Bielefeld, Kammer für Handelssachen (§ 95 Abs. 1 Nr. 4a GVG)</w:t>
      </w:r>
    </w:p>
    <w:p>
      <w:pPr>
        <w:jc w:val="left"/>
      </w:pPr>
      <w:r>
        <w:rPr>
          <w:b/>
        </w:rPr>
        <w:t>Antragsform:</w:t>
      </w:r>
      <w:r>
        <w:t xml:space="preserve"> Schriftlicher Antrag oder mündliche Verhandlung; im Hinblick auf die Eilbedürftigkeit sofortige Einreichung empfohlen</w:t>
      </w:r>
    </w:p>
    <w:p>
      <w:pPr>
        <w:pStyle w:val="Heading3"/>
      </w:pPr>
      <w:r>
        <w:rPr>
          <w:rFonts w:ascii="Times New Roman" w:hAnsi="Times New Roman"/>
        </w:rPr>
        <w:t>3.2 Wirkungen der Anfechtungsklage</w:t>
      </w:r>
    </w:p>
    <w:p>
      <w:pPr>
        <w:jc w:val="left"/>
      </w:pPr>
      <w:r>
        <w:t>Die Anfechtungsklage nach § 246 AktG analog hat im GmbH-Recht keine aufschiebende Wirkung von Gesetzes wegen. Es bedarf daher einer gesonderten einstweiligen Verfügung, um den Vollzug des Beschlusses zu verhindern.</w:t>
      </w:r>
    </w:p>
    <w:p/>
    <w:p>
      <w:pPr>
        <w:pStyle w:val="Heading2"/>
      </w:pPr>
      <w:r>
        <w:rPr>
          <w:rFonts w:ascii="Times New Roman" w:hAnsi="Times New Roman"/>
        </w:rPr>
        <w:t>4. Parallele Angriffspfade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Angriffspfad</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Ziel</w:t>
            </w:r>
          </w:p>
        </w:tc>
      </w:tr>
      <w:tr>
        <w:tc>
          <w:tcPr>
            <w:tcW w:type="dxa" w:w="3024"/>
          </w:tcPr>
          <w:p>
            <w:r>
              <w:rPr>
                <w:rFonts w:ascii="Times New Roman" w:hAnsi="Times New Roman"/>
                <w:sz w:val="20"/>
              </w:rPr>
              <w:t>Anfechtungsklage</w:t>
            </w:r>
          </w:p>
        </w:tc>
        <w:tc>
          <w:tcPr>
            <w:tcW w:type="dxa" w:w="3024"/>
          </w:tcPr>
          <w:p>
            <w:r>
              <w:rPr>
                <w:rFonts w:ascii="Times New Roman" w:hAnsi="Times New Roman"/>
                <w:sz w:val="20"/>
              </w:rPr>
              <w:t>§ 246 AktG analog</w:t>
            </w:r>
          </w:p>
        </w:tc>
        <w:tc>
          <w:tcPr>
            <w:tcW w:type="dxa" w:w="3024"/>
          </w:tcPr>
          <w:p>
            <w:r>
              <w:rPr>
                <w:rFonts w:ascii="Times New Roman" w:hAnsi="Times New Roman"/>
                <w:sz w:val="20"/>
              </w:rPr>
              <w:t>Aufhebung des Beschlusses</w:t>
            </w:r>
          </w:p>
        </w:tc>
      </w:tr>
      <w:tr>
        <w:tc>
          <w:tcPr>
            <w:tcW w:type="dxa" w:w="3024"/>
          </w:tcPr>
          <w:p>
            <w:r>
              <w:rPr>
                <w:rFonts w:ascii="Times New Roman" w:hAnsi="Times New Roman"/>
                <w:sz w:val="20"/>
              </w:rPr>
              <w:t>Nichtigkeitsklage</w:t>
            </w:r>
          </w:p>
        </w:tc>
        <w:tc>
          <w:tcPr>
            <w:tcW w:type="dxa" w:w="3024"/>
          </w:tcPr>
          <w:p>
            <w:r>
              <w:rPr>
                <w:rFonts w:ascii="Times New Roman" w:hAnsi="Times New Roman"/>
                <w:sz w:val="20"/>
              </w:rPr>
              <w:t>§ 241 Nr. 3 AktG analog</w:t>
            </w:r>
          </w:p>
        </w:tc>
        <w:tc>
          <w:tcPr>
            <w:tcW w:type="dxa" w:w="3024"/>
          </w:tcPr>
          <w:p>
            <w:r>
              <w:rPr>
                <w:rFonts w:ascii="Times New Roman" w:hAnsi="Times New Roman"/>
                <w:sz w:val="20"/>
              </w:rPr>
              <w:t>Feststellung der Nichtigkeit</w:t>
            </w:r>
          </w:p>
        </w:tc>
      </w:tr>
      <w:tr>
        <w:tc>
          <w:tcPr>
            <w:tcW w:type="dxa" w:w="3024"/>
          </w:tcPr>
          <w:p>
            <w:r>
              <w:rPr>
                <w:rFonts w:ascii="Times New Roman" w:hAnsi="Times New Roman"/>
                <w:sz w:val="20"/>
              </w:rPr>
              <w:t>Einstweilige Verfügung</w:t>
            </w:r>
          </w:p>
        </w:tc>
        <w:tc>
          <w:tcPr>
            <w:tcW w:type="dxa" w:w="3024"/>
          </w:tcPr>
          <w:p>
            <w:r>
              <w:rPr>
                <w:rFonts w:ascii="Times New Roman" w:hAnsi="Times New Roman"/>
                <w:sz w:val="20"/>
              </w:rPr>
              <w:t>§ 935 ZPO</w:t>
            </w:r>
          </w:p>
        </w:tc>
        <w:tc>
          <w:tcPr>
            <w:tcW w:type="dxa" w:w="3024"/>
          </w:tcPr>
          <w:p>
            <w:r>
              <w:rPr>
                <w:rFonts w:ascii="Times New Roman" w:hAnsi="Times New Roman"/>
                <w:sz w:val="20"/>
              </w:rPr>
              <w:t>Stopp des Vollzugs</w:t>
            </w:r>
          </w:p>
        </w:tc>
      </w:tr>
      <w:tr>
        <w:tc>
          <w:tcPr>
            <w:tcW w:type="dxa" w:w="3024"/>
          </w:tcPr>
          <w:p>
            <w:r>
              <w:rPr>
                <w:rFonts w:ascii="Times New Roman" w:hAnsi="Times New Roman"/>
                <w:sz w:val="20"/>
              </w:rPr>
              <w:t>Abfindungsklage (hilfsweise)</w:t>
            </w:r>
          </w:p>
        </w:tc>
        <w:tc>
          <w:tcPr>
            <w:tcW w:type="dxa" w:w="3024"/>
          </w:tcPr>
          <w:p>
            <w:r>
              <w:rPr>
                <w:rFonts w:ascii="Times New Roman" w:hAnsi="Times New Roman"/>
                <w:sz w:val="20"/>
              </w:rPr>
              <w:t>§§ 105, 133 HGB / § 138 BGB</w:t>
            </w:r>
          </w:p>
        </w:tc>
        <w:tc>
          <w:tcPr>
            <w:tcW w:type="dxa" w:w="3024"/>
          </w:tcPr>
          <w:p>
            <w:r>
              <w:rPr>
                <w:rFonts w:ascii="Times New Roman" w:hAnsi="Times New Roman"/>
                <w:sz w:val="20"/>
              </w:rPr>
              <w:t>Ertragswert statt Buchwert</w:t>
            </w:r>
          </w:p>
        </w:tc>
      </w:tr>
      <w:tr>
        <w:tc>
          <w:tcPr>
            <w:tcW w:type="dxa" w:w="3024"/>
          </w:tcPr>
          <w:p>
            <w:r>
              <w:rPr>
                <w:rFonts w:ascii="Times New Roman" w:hAnsi="Times New Roman"/>
                <w:sz w:val="20"/>
              </w:rPr>
              <w:t>Schadensersatz</w:t>
            </w:r>
          </w:p>
        </w:tc>
        <w:tc>
          <w:tcPr>
            <w:tcW w:type="dxa" w:w="3024"/>
          </w:tcPr>
          <w:p>
            <w:r>
              <w:rPr>
                <w:rFonts w:ascii="Times New Roman" w:hAnsi="Times New Roman"/>
                <w:sz w:val="20"/>
              </w:rPr>
              <w:t>§§ 826, 823 Abs. 2 BGB i.V.m. § 266 StGB</w:t>
            </w:r>
          </w:p>
        </w:tc>
        <w:tc>
          <w:tcPr>
            <w:tcW w:type="dxa" w:w="3024"/>
          </w:tcPr>
          <w:p>
            <w:r>
              <w:rPr>
                <w:rFonts w:ascii="Times New Roman" w:hAnsi="Times New Roman"/>
                <w:sz w:val="20"/>
              </w:rPr>
              <w:t>Ggf. bei kollusivem Zusammenwirken</w:t>
            </w:r>
          </w:p>
        </w:tc>
      </w:tr>
    </w:tbl>
    <w:p/>
    <w:p>
      <w:pPr>
        <w:jc w:val="left"/>
      </w:pPr>
      <w:r>
        <w:rPr>
          <w:i/>
        </w:rPr>
        <w:t>Erstellt: 20.04.2026 — Prof. Dr. Wieland Drosselberg</w:t>
      </w:r>
    </w:p>
    <w:p>
      <w:pPr>
        <w:jc w:val="left"/>
      </w:pPr>
      <w:r>
        <w:rPr>
          <w:i/>
        </w:rPr>
        <w:t>Referenzen: BGH II ZR 240/08; BGH II ZR 259/03; BGH II ZR 104/92; BGHZ 116, 359; BGHZ 123, 281; dejure.org/gesetze/HGB/138.html; openjur.de/r/2013/11/bgh-iiizr282-01.html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GmbH &amp; Co. KG</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