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Nachvertragliches Wettbewerbsverbot: Stefan Geisen / HolzART Paderborn UG</w:t>
      </w:r>
    </w:p>
    <w:p>
      <w:pPr>
        <w:jc w:val="left"/>
      </w:pPr>
      <w:r>
        <w:rPr>
          <w:b/>
        </w:rPr>
        <w:t>Akte:</w:t>
      </w:r>
      <w:r>
        <w:t xml:space="preserve"> DWSP/2026/GR-4417</w:t>
      </w:r>
    </w:p>
    <w:p>
      <w:pPr>
        <w:jc w:val="left"/>
      </w:pPr>
      <w:r>
        <w:rPr>
          <w:b/>
        </w:rPr>
        <w:t>Erstellt:</w:t>
      </w:r>
      <w:r>
        <w:t xml:space="preserve"> 24.04.2026</w:t>
      </w:r>
    </w:p>
    <w:p>
      <w:pPr>
        <w:jc w:val="left"/>
      </w:pPr>
      <w:r>
        <w:rPr>
          <w:b/>
        </w:rPr>
        <w:t>Bearbeiter:</w:t>
      </w:r>
      <w:r>
        <w:t xml:space="preserve"> Prof. Dr. Wieland Drosselberg</w:t>
      </w:r>
    </w:p>
    <w:p/>
    <w:p>
      <w:pPr>
        <w:pStyle w:val="Heading2"/>
      </w:pPr>
      <w:r>
        <w:rPr>
          <w:rFonts w:ascii="Times New Roman" w:hAnsi="Times New Roman"/>
        </w:rPr>
        <w:t>1. Ausgangslage</w:t>
      </w:r>
    </w:p>
    <w:p>
      <w:pPr>
        <w:jc w:val="left"/>
      </w:pPr>
      <w:r>
        <w:t>Stefan Geisen (Kommanditist, 20 %) hat der Gesellschaft am 03.02.2026 mitgeteilt, er plane die Gründung der HolzART Paderborn UG (haftungsbeschränkt) als Einzelgesellschafter. Der Geschäftsgegenstand ist mit „Entwurf, Herstellung und Vertrieb von Holzmöbeln und Holzküchen im günstigeren Preissegment" angegeben. Sitz: Paderborn, Sennelager (nur wenige Kilometer vom Stammwerk der Küchenkönig entfernt).</w:t>
      </w:r>
    </w:p>
    <w:p>
      <w:pPr>
        <w:jc w:val="left"/>
      </w:pPr>
      <w:r>
        <w:t>Heinrich-Eberhard Geisen hat Stefan Geisen am 05.02.2026 abgemahnt und auf § 14 GV hingewiesen (nachvertragliches Wettbewerbsverbot, Laufzeit 2 Jahre, Umkreis 150 km, Vertragsstrafe 50.000 EUR je Einzelfall).</w:t>
      </w:r>
    </w:p>
    <w:p/>
    <w:p>
      <w:pPr>
        <w:pStyle w:val="Heading2"/>
      </w:pPr>
      <w:r>
        <w:rPr>
          <w:rFonts w:ascii="Times New Roman" w:hAnsi="Times New Roman"/>
        </w:rPr>
        <w:t>2. Gesellschaftsvertragliche Klausel</w:t>
      </w:r>
    </w:p>
    <w:p>
      <w:pPr>
        <w:jc w:val="left"/>
      </w:pPr>
      <w:r>
        <w:t>§ 14 GV lautet (Auszug):</w:t>
      </w:r>
    </w:p>
    <w:p>
      <w:pPr>
        <w:ind w:left="567"/>
      </w:pPr>
      <w:r>
        <w:rPr>
          <w:i/>
        </w:rPr>
        <w:t>„Abs. 1: Jeder Gesellschafter ist während seiner Mitgliedschaft verpflichtet, jede Tätigkeit zu unterlassen, die mit dem Gesellschaftszweck der Küchenkönig Manufaktur GmbH &amp; Co. KG konkurriert. Abs. 2: Diese Pflicht dauert nach dem Ausscheiden eines Gesellschafters zwei Jahre fort, räumlich beschränkt auf einen Umkreis von 150 km um den Gesellschaftssitz (Paderborn). Abs. 3: Bei jedem Verstoß ist eine Vertragsstrafe von 50.000 EUR verwirkt; weitergehender Schadensersatz bleibt vorbehalten."</w:t>
      </w:r>
    </w:p>
    <w:p/>
    <w:p>
      <w:pPr>
        <w:pStyle w:val="Heading2"/>
      </w:pPr>
      <w:r>
        <w:rPr>
          <w:rFonts w:ascii="Times New Roman" w:hAnsi="Times New Roman"/>
        </w:rPr>
        <w:t>3. Rechtliche Analyse</w:t>
      </w:r>
    </w:p>
    <w:p>
      <w:pPr>
        <w:pStyle w:val="Heading3"/>
      </w:pPr>
      <w:r>
        <w:rPr>
          <w:rFonts w:ascii="Times New Roman" w:hAnsi="Times New Roman"/>
        </w:rPr>
        <w:t>3.1 Anwendbarkeit auf Kommanditisten</w:t>
      </w:r>
    </w:p>
    <w:p>
      <w:pPr>
        <w:jc w:val="left"/>
      </w:pPr>
      <w:r>
        <w:t>Das gesetzliche Wettbewerbsverbot des § 112 HGB gilt unmittelbar nur für Komplementäre (persönlich haftende Gesellschafter). Für Kommanditisten besteht kein gesetzliches Wettbewerbsverbot. Jedoch können Kommanditisten durch den Gesellschaftsvertrag einem Wettbewerbsverbot unterstellt werden (§ 161 HGB analog; BGH, Urt. v. 29.09.2003, II ZR 59/02; BGH NJW 2006, 68). Das geschieht durch § 14 GV.</w:t>
      </w:r>
    </w:p>
    <w:p>
      <w:pPr>
        <w:pStyle w:val="Heading3"/>
      </w:pPr>
      <w:r>
        <w:rPr>
          <w:rFonts w:ascii="Times New Roman" w:hAnsi="Times New Roman"/>
        </w:rPr>
        <w:t>3.2 Inhaltskontrolle des nachvertraglichen Wettbewerbsverbots</w:t>
      </w:r>
    </w:p>
    <w:p>
      <w:pPr>
        <w:jc w:val="left"/>
      </w:pPr>
      <w:r>
        <w:t>Nachvertragliche Wettbewerbsverbote in Gesellschaftsverträgen unterliegen einer Inhaltskontrolle nach § 138 BGB und Art. 12 GG. Maßgebliche Kriterien:</w:t>
      </w:r>
    </w:p>
    <w:p>
      <w:pPr>
        <w:jc w:val="left"/>
      </w:pPr>
      <w:r>
        <w:rPr>
          <w:b/>
        </w:rPr>
        <w:t>a) Räumliche Reichweite (150 km-Radius):</w:t>
      </w:r>
    </w:p>
    <w:p>
      <w:pPr>
        <w:jc w:val="left"/>
      </w:pPr>
      <w:r>
        <w:t>Ein Radius von 150 km um Paderborn erfasst weite Teile von NRW, Niedersachsen und Hessen. Das gesamte Verkaufsgebiet der Küchenkönig liegt innerhalb dieses Radius. Die räumliche Beschränkung erscheint sachlich gerechtfertigt, da sie dem tatsächlichen Tätigkeitsgebiet der Gesellschaft entspricht.</w:t>
      </w:r>
    </w:p>
    <w:p>
      <w:pPr>
        <w:jc w:val="left"/>
      </w:pPr>
      <w:r>
        <w:rPr>
          <w:b/>
        </w:rPr>
        <w:t>b) Zeitliche Begrenzung (2 Jahre):</w:t>
      </w:r>
    </w:p>
    <w:p>
      <w:pPr>
        <w:jc w:val="left"/>
      </w:pPr>
      <w:r>
        <w:t>Eine Laufzeit von 2 Jahren ist für Gesellschaftsverträge in der Rechtsprechung anerkannt (BGH II ZR 59/02; OLG Hamm, Urt. v. 12.03.2014, 8 U 97/13: bis zu 3 Jahre zulässig).</w:t>
      </w:r>
    </w:p>
    <w:p>
      <w:pPr>
        <w:jc w:val="left"/>
      </w:pPr>
      <w:r>
        <w:rPr>
          <w:b/>
        </w:rPr>
        <w:t>c) Karenzentschädigung — fehlend:</w:t>
      </w:r>
    </w:p>
    <w:p>
      <w:pPr>
        <w:jc w:val="left"/>
      </w:pPr>
      <w:r>
        <w:t>Der entscheidende Schwachpunkt der Klausel ist das Fehlen einer Karenzentschädigung. Der BGH (II ZR 59/02, NJW 2004, 66) hat klargestellt, dass ein nachvertragliches Wettbewerbsverbot ohne angemessenen Ausgleich bei einem Kommanditisten, der auf die einschlägige Tätigkeit angewiesen ist, gegen Art. 12 GG verstößt und gemäß § 138 BGB nichtig ist. Stefan Geisen ist gelernter Schreinermeister und hat seine gesamte Berufslaufbahn im Küchenhandwerk verbracht. Eine 2-jährige Beschäftigungssperre ohne Karenzentschädigung würde ihn in seiner Berufsausübung unangemessen einschränken.</w:t>
      </w:r>
    </w:p>
    <w:p>
      <w:pPr>
        <w:pStyle w:val="Heading3"/>
      </w:pPr>
      <w:r>
        <w:rPr>
          <w:rFonts w:ascii="Times New Roman" w:hAnsi="Times New Roman"/>
        </w:rPr>
        <w:t>3.3 Geltungszeitpunkt: Noch kein Ausscheiden</w:t>
      </w:r>
    </w:p>
    <w:p>
      <w:pPr>
        <w:jc w:val="left"/>
      </w:pPr>
      <w:r>
        <w:t>Stefan Geisen ist noch Gesellschafter (der Squeeze-out-Beschluss ist angefochten und damit nicht vollzugsfähig). Das nachvertragliche Wettbewerbsverbot greift demnach noch nicht. Das vertragliche Wettbewerbsverbot während der Mitgliedschaft (§ 14 Abs. 1 GV) untersagt lediglich die „Tätigkeit" in einem konkurrierenden Unternehmen — die bloße Gründung und Vorbereitung einer UG ist noch keine Tätigkeit im Wettbewerb (BGH NJW-RR 2008, 327).</w:t>
      </w:r>
    </w:p>
    <w:p>
      <w:pPr>
        <w:pStyle w:val="Heading3"/>
      </w:pPr>
      <w:r>
        <w:rPr>
          <w:rFonts w:ascii="Times New Roman" w:hAnsi="Times New Roman"/>
        </w:rPr>
        <w:t>3.4 Ergebnis</w:t>
      </w:r>
    </w:p>
    <w:p>
      <w:pPr>
        <w:jc w:val="left"/>
      </w:pPr>
      <w:r>
        <w:rPr>
          <w:b/>
        </w:rPr>
        <w:t>Während der Mitgliedschaft:</w:t>
      </w:r>
      <w:r>
        <w:t xml:space="preserve"> Die Gründung der HolzART UG als solche verstößt noch nicht gegen § 14 Abs. 1 GV. Der Beginn des aktiven Küchengeschäfts (Beratung, Auftragsannahme) wäre hingegen ein Verstoß.</w:t>
      </w:r>
    </w:p>
    <w:p>
      <w:pPr>
        <w:jc w:val="left"/>
      </w:pPr>
      <w:r>
        <w:rPr>
          <w:b/>
        </w:rPr>
        <w:t>Nach dem Ausscheiden:</w:t>
      </w:r>
      <w:r>
        <w:t xml:space="preserve"> Sollte der Squeeze-out-Beschluss in letzter Instanz bestätigt werden (unwahrscheinlich), wäre das nachvertragliche Wettbewerbsverbot wegen fehlender Karenzentschädigung nach § 138 BGB nichtig. Stefan Geisen könnte dann sofort mit HolzART UG beginnen.</w:t>
      </w:r>
    </w:p>
    <w:p>
      <w:pPr>
        <w:jc w:val="left"/>
      </w:pPr>
      <w:r>
        <w:rPr>
          <w:b/>
        </w:rPr>
        <w:t>Risiko für die Gesellschaft:</w:t>
      </w:r>
      <w:r>
        <w:t xml:space="preserve"> Die Vertragsstrafe (50.000 EUR je Einzelfall) ist bei Nichtigkeit der Klausel ebenfalls nicht durchsetzbar. Die Abmahnung vom 05.02.2026 hat keine ausreichende Rechtsgrundlage.</w:t>
      </w:r>
    </w:p>
    <w:p/>
    <w:p>
      <w:pPr>
        <w:pStyle w:val="Heading2"/>
      </w:pPr>
      <w:r>
        <w:rPr>
          <w:rFonts w:ascii="Times New Roman" w:hAnsi="Times New Roman"/>
        </w:rPr>
        <w:t>4. Empfehlungen</w:t>
      </w:r>
    </w:p>
    <w:p>
      <w:pPr>
        <w:pStyle w:val="Heading3"/>
      </w:pPr>
      <w:r>
        <w:rPr>
          <w:rFonts w:ascii="Times New Roman" w:hAnsi="Times New Roman"/>
        </w:rPr>
        <w:t>4.1 Für Stefan Geisen</w:t>
      </w:r>
    </w:p>
    <w:p>
      <w:pPr>
        <w:pStyle w:val="ListNumber"/>
      </w:pPr>
      <w:r>
        <w:t>UG-Gründung HolzART Paderborn UG kann wie geplant fortgesetzt werden (nur Vorbereitung)</w:t>
      </w:r>
    </w:p>
    <w:p>
      <w:pPr>
        <w:pStyle w:val="ListNumber"/>
      </w:pPr>
      <w:r>
        <w:t>Aktives Küchengeschäft erst aufnehmen, wenn Squeeze-out-Verfahren rechtskräftig abgeschlossen</w:t>
      </w:r>
    </w:p>
    <w:p>
      <w:pPr>
        <w:pStyle w:val="ListNumber"/>
      </w:pPr>
      <w:r>
        <w:t>Im Falle einer Einigung mit der Geisen-Familie über den Verbleib in der Gesellschaft: Neufassung § 14 GV mit angemessener Karenzentschädigung verhandeln</w:t>
      </w:r>
    </w:p>
    <w:p>
      <w:pPr>
        <w:pStyle w:val="ListNumber"/>
      </w:pPr>
      <w:r>
        <w:t>Eigene Rechtsberatung für HolzART-Gründung (Interessenkonflikt DWSP beachten)</w:t>
      </w:r>
    </w:p>
    <w:p>
      <w:pPr>
        <w:pStyle w:val="Heading3"/>
      </w:pPr>
      <w:r>
        <w:rPr>
          <w:rFonts w:ascii="Times New Roman" w:hAnsi="Times New Roman"/>
        </w:rPr>
        <w:t>4.2 Für die Gesellschaft</w:t>
      </w:r>
    </w:p>
    <w:p>
      <w:pPr>
        <w:pStyle w:val="ListNumber"/>
      </w:pPr>
      <w:r>
        <w:t>Abmahnung vom 05.02.2026 zurückziehen oder klarstellen, dass sie lediglich vorsorglich erging</w:t>
      </w:r>
    </w:p>
    <w:p>
      <w:pPr>
        <w:pStyle w:val="ListNumber"/>
      </w:pPr>
      <w:r>
        <w:t>GV-Beschluss zur Anpassung des § 14 GV (Einführung Karenzentschädigung) für künftige Fälle vorbereiten</w:t>
      </w:r>
    </w:p>
    <w:p/>
    <w:p>
      <w:pPr>
        <w:jc w:val="left"/>
      </w:pPr>
      <w:r>
        <w:rPr>
          <w:i/>
        </w:rPr>
        <w:t>Erstellt: 24.04.2026 — Prof. Dr. Wieland Drosselberg</w:t>
      </w:r>
    </w:p>
    <w:p>
      <w:pPr>
        <w:jc w:val="left"/>
      </w:pPr>
      <w:r>
        <w:rPr>
          <w:i/>
        </w:rPr>
        <w:t>Referenz: § 161 HGB (dejure.org/gesetze/HGB/161.html); BGH II ZR 59/02; BGH NJW 2006, 68; Art. 12 GG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HolzART Paderborn UG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HolzART Paderborn UG</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