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18 — Gesellschafterversammlung: Formalia, Einberufungsmängel und Heilungsmöglichkeiten</w:t>
      </w:r>
    </w:p>
    <w:p>
      <w:pPr>
        <w:jc w:val="left"/>
      </w:pPr>
      <w:r>
        <w:rPr>
          <w:b/>
        </w:rPr>
        <w:t>Akte:</w:t>
      </w:r>
      <w:r>
        <w:t xml:space="preserve"> DWSP/2026/GR-4417</w:t>
      </w:r>
    </w:p>
    <w:p>
      <w:pPr>
        <w:jc w:val="left"/>
      </w:pPr>
      <w:r>
        <w:rPr>
          <w:b/>
        </w:rPr>
        <w:t>Erstellt:</w:t>
      </w:r>
      <w:r>
        <w:t xml:space="preserve"> 30.04.2026</w:t>
      </w:r>
    </w:p>
    <w:p>
      <w:pPr>
        <w:jc w:val="left"/>
      </w:pPr>
      <w:r>
        <w:rPr>
          <w:b/>
        </w:rPr>
        <w:t>Bearbeiter:</w:t>
      </w:r>
      <w:r>
        <w:t xml:space="preserve"> Ass. iur. Miriam Sandtenbruch</w:t>
      </w:r>
    </w:p>
    <w:p/>
    <w:p>
      <w:pPr>
        <w:pStyle w:val="Heading2"/>
      </w:pPr>
      <w:r>
        <w:rPr>
          <w:rFonts w:ascii="Times New Roman" w:hAnsi="Times New Roman"/>
        </w:rPr>
        <w:t>1. Überblick: Formale Anforderungen an die GV der GmbH &amp; Co. KG</w:t>
      </w:r>
    </w:p>
    <w:p>
      <w:pPr>
        <w:jc w:val="left"/>
      </w:pPr>
      <w:r>
        <w:t>Die GmbH &amp; Co. KG ist eine Personengesellschaft; ihr Innenverhältnis richtet sich primär nach dem Gesellschaftsvertrag und subsidiär nach dem HGB (§§ 105 ff., 161 HGB). Für die Gesellschafterversammlungen gelten die im Gesellschaftsvertrag vereinbarten Regeln; wo keine Regelung besteht, werden GmbH-Regelungen analog angewendet (Rspr. BGH, Urt. v. 07.07.1980, II ZR 184/79). Im Folgenden werden die zentralen Formfragen zur GV vom 14.04.2026 und zur GV vom 18.12.2025 analysiert.</w:t>
      </w:r>
    </w:p>
    <w:p/>
    <w:p>
      <w:pPr>
        <w:pStyle w:val="Heading2"/>
      </w:pPr>
      <w:r>
        <w:rPr>
          <w:rFonts w:ascii="Times New Roman" w:hAnsi="Times New Roman"/>
        </w:rPr>
        <w:t>2. Einberufungsrecht</w:t>
      </w:r>
    </w:p>
    <w:p>
      <w:pPr>
        <w:pStyle w:val="Heading3"/>
      </w:pPr>
      <w:r>
        <w:rPr>
          <w:rFonts w:ascii="Times New Roman" w:hAnsi="Times New Roman"/>
        </w:rPr>
        <w:t>2.1 GV vom 14.04.2026 (Squeeze-out)</w:t>
      </w:r>
    </w:p>
    <w:p>
      <w:pPr>
        <w:jc w:val="left"/>
      </w:pPr>
      <w:r>
        <w:rPr>
          <w:b/>
        </w:rPr>
        <w:t>Befugnis nach GV:</w:t>
      </w:r>
      <w:r>
        <w:t xml:space="preserve"> § 6 Abs. 1 GV: „Der Geschäftsführer der Komplementär-GmbH beruft die ordentlichen und außerordentlichen Gesellschafterversammlungen ein."</w:t>
      </w:r>
    </w:p>
    <w:p>
      <w:pPr>
        <w:jc w:val="left"/>
      </w:pPr>
      <w:r>
        <w:rPr>
          <w:b/>
        </w:rPr>
        <w:t>Tatsächliche Einberufung:</w:t>
      </w:r>
      <w:r>
        <w:t xml:space="preserve"> Die Wittmann Family Holding KG hat als Kommanditistin ohne Geschäftsführungs- und Vertretungsbefugnis einberufen. Das ist nach § 6 GV unzulässig.</w:t>
      </w:r>
    </w:p>
    <w:p>
      <w:pPr>
        <w:jc w:val="left"/>
      </w:pPr>
      <w:r>
        <w:rPr>
          <w:b/>
        </w:rPr>
        <w:t>Ausnahmetatbestand:</w:t>
      </w:r>
      <w:r>
        <w:t xml:space="preserve"> In der GmbH (§ 50 Abs. 3 GmbHG) können Gesellschafter mit mehr als 10 % des Stammkapitals die Einberufung beim Registergericht erzwingen oder selbst einberufen, wenn der GF die Einberufung verweigert. Eine analoge Anwendung für GmbH &amp; Co. KG setzt voraus, dass der GF der Komplementär-GmbH zuvor schriftlich zur Einberufung aufgefordert wurde und die Frist von 4 Wochen verstrichen ist (§ 50 Abs. 3 GmbHG analog; BGH NJW 1979, 217).</w:t>
      </w:r>
    </w:p>
    <w:p>
      <w:pPr>
        <w:jc w:val="left"/>
      </w:pPr>
      <w:r>
        <w:rPr>
          <w:b/>
        </w:rPr>
        <w:t>Prüfungsergebnis:</w:t>
      </w:r>
      <w:r>
        <w:t xml:space="preserve"> Wittmann Holding hat keine vorherige Aufforderung ausgesprochen. Einberufungsmangel liegt vor.</w:t>
      </w:r>
    </w:p>
    <w:p>
      <w:pPr>
        <w:jc w:val="left"/>
      </w:pPr>
      <w:r>
        <w:rPr>
          <w:b/>
        </w:rPr>
        <w:t>Heilungsmöglichkeit:</w:t>
      </w:r>
      <w:r>
        <w:t xml:space="preserve"> Gemäß § 121 Abs. 6 AktG analog (entsprechend im GmbH-Recht) ist ein Einberufungsmangel grundsätzlich heilbar, wenn alle Gesellschafter anwesend oder vertreten sind und kein Gesellschafter der Verhandlung widerspricht (Universalversammlung). Da Heinrich-Eberhard Geisen in der GV ausdrücklich widersprochen hat, ist eine Heilung im Nachhinein nicht möglich.</w:t>
      </w:r>
    </w:p>
    <w:p/>
    <w:p>
      <w:pPr>
        <w:pStyle w:val="Heading2"/>
      </w:pPr>
      <w:r>
        <w:rPr>
          <w:rFonts w:ascii="Times New Roman" w:hAnsi="Times New Roman"/>
        </w:rPr>
        <w:t>3. Einladungsfrist und Tagesordnung</w:t>
      </w:r>
    </w:p>
    <w:p>
      <w:pPr>
        <w:pStyle w:val="Heading3"/>
      </w:pPr>
      <w:r>
        <w:rPr>
          <w:rFonts w:ascii="Times New Roman" w:hAnsi="Times New Roman"/>
        </w:rPr>
        <w:t>3.1 GV vom 14.04.2026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Anforderung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Ist-Zustand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Einladungsfrist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51 Abs. 1 GmbHG analog: mindestens 2 Wochen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 Tage (28.03. bis 14.04.)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Eingehalten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Einladungsform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6 Abs. 2 GV: Einschreiben/Rückschein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Einschreiben/Rückschein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Eingehalten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Angabe der Tagesordnung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51 Abs. 4 GmbHG analog: vollständige Ankündigung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TOP 2 nur „Familien-Kommanditisten", nicht Komplementär-GmbH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Mangelhaft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Einberufungsbefugnis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6 Abs. 1 GV: GF der Komplementär-GmbH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Wittmann Holding (Kommanditistin)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Mangelhaft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3.2 GV vom 18.12.2025 (Formwechsel)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Anforderung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Ist-Zustand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Einladungsfrist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Für Formwechsel: § 230 Abs. 2 UmwG: mindestens 30 Tage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Einladung 15.11.2025 zur GV 18.12.2025 = 33 Tage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Eingehalten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Umwandlungsbericht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192 UmwG: vor der GV vorliegen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Erst in der GV verteilt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Mangelhaft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Qualifizierte Mehrheit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214 UmwG: 75 %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Erzielt: 50 % (Wittmann + Stefan)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Mangelhaft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Zustimmung Komplementärin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228 UmwG: zwingend erforderlich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Verweigert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Mangelhaft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Rechtswirkungen der Mängel</w:t>
      </w:r>
    </w:p>
    <w:p>
      <w:pPr>
        <w:pStyle w:val="Heading3"/>
      </w:pPr>
      <w:r>
        <w:rPr>
          <w:rFonts w:ascii="Times New Roman" w:hAnsi="Times New Roman"/>
        </w:rPr>
        <w:t>4.1 Nichtigkeit vs. Anfechtbarkeit</w:t>
      </w:r>
    </w:p>
    <w:p>
      <w:pPr>
        <w:jc w:val="left"/>
      </w:pPr>
      <w:r>
        <w:t>Im GmbH-Recht (analog für GmbH &amp; Co. KG) gilt folgende Differenzierung: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Mangel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Rechtsfolge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Einberufung durch Unzuständigen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Anfechtbarkeit (§ 243 AktG analog); bei vollständiger Universalversammlung heilbar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Tagesordnungsmangel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Anfechtbarkeit (§ 243 AktG analog)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Fehlende gesetzliche Mehrheit (Formwechsel)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Nichtigkeit (§ 241 Nr. 5 AktG analog i.V.m. § 214 UmwG)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Fehlende Zustimmung Komplementärin (§ 228 UmwG)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Nichtigkeit des Formwechselbeschlusses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4.2 Anfechtungsfrist</w:t>
      </w:r>
    </w:p>
    <w:p>
      <w:pPr>
        <w:jc w:val="left"/>
      </w:pPr>
      <w:r>
        <w:t>Analog zu § 246 Abs. 1 AktG gilt: 1 Monat ab Beschlussfassung. Für die GV vom 14.04.2026 lief die Frist bis 14.05.2026. DWSP hat die Anfechtungsklage am 29.04.2026 — also fristgerecht — eingereicht.</w:t>
      </w:r>
    </w:p>
    <w:p>
      <w:pPr>
        <w:jc w:val="left"/>
      </w:pPr>
      <w:r>
        <w:t xml:space="preserve">Für den Formwechselbeschluss vom 18.12.2025 gilt analog eine Anfechtungsfrist bis 18.01.2026. Da keine Anfechtungsklage erhoben wurde, ist der Beschluss insoweit nicht anfechtbar, aber weiterhin </w:t>
      </w:r>
      <w:r>
        <w:rPr>
          <w:b/>
        </w:rPr>
        <w:t>nichtig</w:t>
      </w:r>
      <w:r>
        <w:t xml:space="preserve"> (Nichtigkeit ist zeitlich unbegrenzt geltend zu machen, § 249 AktG analog).</w:t>
      </w:r>
    </w:p>
    <w:p/>
    <w:p>
      <w:pPr>
        <w:pStyle w:val="Heading2"/>
      </w:pPr>
      <w:r>
        <w:rPr>
          <w:rFonts w:ascii="Times New Roman" w:hAnsi="Times New Roman"/>
        </w:rPr>
        <w:t>5. Mögliche Heilungsversuche durch Wittmann Holding</w:t>
      </w:r>
    </w:p>
    <w:p>
      <w:pPr>
        <w:jc w:val="left"/>
      </w:pPr>
      <w:r>
        <w:t>Die Wittmann Holding könnte versuchen:</w:t>
      </w:r>
    </w:p>
    <w:p>
      <w:pPr>
        <w:pStyle w:val="ListNumber"/>
      </w:pPr>
      <w:r>
        <w:rPr>
          <w:b/>
        </w:rPr>
        <w:t>Neue GV einberufen (rechtmäßig):</w:t>
      </w:r>
      <w:r>
        <w:t xml:space="preserve"> Aufforderung an GF Heinrich-Eberhard Geisen zur Einberufung, dann bei Verweigerung Erzwingung über Registergericht (§ 50 Abs. 3 GmbHG analog)</w:t>
      </w:r>
    </w:p>
    <w:p>
      <w:pPr>
        <w:pStyle w:val="ListNumber"/>
      </w:pPr>
      <w:r>
        <w:rPr>
          <w:b/>
        </w:rPr>
        <w:t>Mehrheitsbeschaffung:</w:t>
      </w:r>
      <w:r>
        <w:t xml:space="preserve"> Wittmann müsste mindestens Stefan Geisen (20 %) auf ihre Seite ziehen, um eine 50 %-Mehrheit zu erreichen; für einen Formwechsel bräuchte sie zusätzlich die Komplementär-GmbH (75 %-Schwelle)</w:t>
      </w:r>
    </w:p>
    <w:p>
      <w:pPr>
        <w:pStyle w:val="ListNumber"/>
      </w:pPr>
      <w:r>
        <w:rPr>
          <w:b/>
        </w:rPr>
        <w:t>Außergerichtlicher Einigungsversuch:</w:t>
      </w:r>
      <w:r>
        <w:t xml:space="preserve"> Angebot eines höheren Abfindungspreises an die Geisen-Familie</w:t>
      </w:r>
    </w:p>
    <w:p>
      <w:pPr>
        <w:jc w:val="left"/>
      </w:pPr>
      <w:r>
        <w:rPr>
          <w:b/>
        </w:rPr>
        <w:t>Fazit:</w:t>
      </w:r>
      <w:r>
        <w:t xml:space="preserve"> Die Formfehler der GV 14.04.2026 sind nicht heilbar; eine neue, formal korrekte GV könnte allenfalls einen neuen Beschlussversuch ermöglichen — inhaltlich würde dieser an den gleichen Mehrheitsproblemen scheitern.</w:t>
      </w:r>
    </w:p>
    <w:p/>
    <w:p>
      <w:pPr>
        <w:jc w:val="left"/>
      </w:pPr>
      <w:r>
        <w:rPr>
          <w:i/>
        </w:rPr>
        <w:t>Erstellt: 30.04.2026 — Ass. iur. Miriam Sandtenbruch</w:t>
      </w:r>
    </w:p>
    <w:p>
      <w:pPr>
        <w:jc w:val="left"/>
      </w:pPr>
      <w:r>
        <w:rPr>
          <w:i/>
        </w:rPr>
        <w:t>Referenz: § 51 GmbHG (dejure.org/gesetze/GmbHG/51.html); § 243 AktG; § 246 AktG; § 214 UmwG; § 228 UmwG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GmbH &amp; Co. KG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GmbH &amp; Co. KG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