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25 — Plädoyer-Entwurf: Freispruchsantrag für Einzelpunkte, im Übrigen mildeste Strafe</w:t>
      </w:r>
    </w:p>
    <w:p>
      <w:pPr>
        <w:jc w:val="left"/>
      </w:pPr>
      <w:r>
        <w:rPr>
          <w:b/>
        </w:rPr>
        <w:t>Verteidigerin:</w:t>
      </w:r>
      <w:r>
        <w:t xml:space="preserve"> Dr. Lia Vellbruck-Eisinger.</w:t>
      </w:r>
    </w:p>
    <w:p>
      <w:pPr>
        <w:jc w:val="left"/>
      </w:pPr>
      <w:r>
        <w:rPr>
          <w:b/>
        </w:rPr>
        <w:t>Stand:</w:t>
      </w:r>
      <w:r>
        <w:t xml:space="preserve"> Entwurf vor Hauptverhandlung. Endgültige Fassung nach Beweisaufnahme.</w:t>
      </w:r>
    </w:p>
    <w:p/>
    <w:p>
      <w:pPr>
        <w:jc w:val="left"/>
      </w:pPr>
      <w:r>
        <w:t>Hoher Senat, Frau Vorsitzende, Herr Vorsitzender, sehr geehrte Mitglieder der Kammer, sehr geehrte Vertreterin der Staatsanwaltschaft, sehr geehrter Mandant,</w:t>
      </w:r>
    </w:p>
    <w:p>
      <w:pPr>
        <w:jc w:val="left"/>
      </w:pPr>
      <w:r>
        <w:t>ich werde im Namen meines Mandanten Dr. Carlsten Pellbach-Eisenacher folgende Anträge stellen:</w:t>
      </w:r>
    </w:p>
    <w:p>
      <w:pPr>
        <w:pStyle w:val="Heading2"/>
      </w:pPr>
      <w:r>
        <w:rPr>
          <w:rFonts w:ascii="Times New Roman" w:hAnsi="Times New Roman"/>
        </w:rPr>
        <w:t>1. Anträge</w:t>
      </w:r>
    </w:p>
    <w:p>
      <w:pPr>
        <w:jc w:val="left"/>
      </w:pPr>
      <w:r>
        <w:t xml:space="preserve">I. </w:t>
      </w:r>
      <w:r>
        <w:rPr>
          <w:b/>
        </w:rPr>
        <w:t>Freispruch</w:t>
      </w:r>
      <w:r>
        <w:t xml:space="preserve"> in den Anklagepunkten zu</w:t>
      </w:r>
    </w:p>
    <w:p>
      <w:pPr>
        <w:pStyle w:val="ListBullet"/>
      </w:pPr>
      <w:r>
        <w:t>§ 261 StGB Geldwaesche (Anklagepunkt VII)</w:t>
      </w:r>
    </w:p>
    <w:p>
      <w:pPr>
        <w:pStyle w:val="ListBullet"/>
      </w:pPr>
      <w:r>
        <w:t>§ 264 StGB Subventionsbetrug (Anklagepunkt VI)</w:t>
      </w:r>
    </w:p>
    <w:p>
      <w:pPr>
        <w:pStyle w:val="ListBullet"/>
      </w:pPr>
      <w:r>
        <w:t>§ 283 Abs. 1 Nr. 5 und 8 StGB Bankrott — soweit der Bankrott-Vorwurf über die Privatentnahmen hinausgeht (Anklagepunkt II teilweise)</w:t>
      </w:r>
    </w:p>
    <w:p>
      <w:pPr>
        <w:jc w:val="left"/>
      </w:pPr>
      <w:r>
        <w:t xml:space="preserve">II. </w:t>
      </w:r>
      <w:r>
        <w:rPr>
          <w:b/>
        </w:rPr>
        <w:t>Im Übrigen</w:t>
      </w:r>
      <w:r>
        <w:t xml:space="preserve"> mildeste tatangemessene Strafe — gesetzlich Mindeststrafe und Aussetzung zur Bewährung gemäß § 56 II StGB.</w:t>
      </w:r>
    </w:p>
    <w:p>
      <w:pPr>
        <w:jc w:val="left"/>
      </w:pPr>
      <w:r>
        <w:t>III. Beweisaufnahme-Bezogen: Berücksichtigung der durch Beweisaufnahme zu Tage tretenden Tatsachen — insbesondere des aussagepsychologischen Gutachtens (sofern eingeholt).</w:t>
      </w:r>
    </w:p>
    <w:p>
      <w:pPr>
        <w:pStyle w:val="Heading2"/>
      </w:pPr>
      <w:r>
        <w:rPr>
          <w:rFonts w:ascii="Times New Roman" w:hAnsi="Times New Roman"/>
        </w:rPr>
        <w:t>2. Begründung zu den Freispruchsantragen</w:t>
      </w:r>
    </w:p>
    <w:p>
      <w:pPr>
        <w:pStyle w:val="Heading3"/>
      </w:pPr>
      <w:r>
        <w:rPr>
          <w:rFonts w:ascii="Times New Roman" w:hAnsi="Times New Roman"/>
        </w:rPr>
        <w:t>2.1 § 261 StGB Geldwaesche</w:t>
      </w:r>
    </w:p>
    <w:p>
      <w:pPr>
        <w:jc w:val="left"/>
      </w:pPr>
      <w:r>
        <w:t>Die Anklage stützt den Vorwurf auf die Auslandszahlungen über Pellbach Logistyka Sp. z o.o. an Edelweiss Holdings Ltd. (Limassol, Zypern). Die Beweisaufnahme hat (wird/wird ggf.) ergeben:</w:t>
      </w:r>
    </w:p>
    <w:p>
      <w:pPr>
        <w:pStyle w:val="ListBullet"/>
      </w:pPr>
      <w:r>
        <w:t>Edelweiss Holdings ist eine eingetragene Gesellschaft mit CY-Beneficial-Owner-Eintragung. Die Aufklärung der UBO-Struktur ist Sache des polnischen und zyprischen Behördenpfads; die deutsche StA konnte den Beweis, dass mein Mandant UBO ist, nicht erbringen.</w:t>
      </w:r>
    </w:p>
    <w:p>
      <w:pPr>
        <w:pStyle w:val="ListBullet"/>
      </w:pPr>
      <w:r>
        <w:t>Die Lizenz- und Frachtaufschläge sind Bestandteil der gewachsenen Geschäftsbeziehung Pellbach Koeln &lt;-&gt; Pellbach Logistyka &lt;-&gt; Edelweiss Holdings (Markenlizenz "Pellbach Logistik" in PL/CY).</w:t>
      </w:r>
    </w:p>
    <w:p>
      <w:pPr>
        <w:pStyle w:val="ListBullet"/>
      </w:pPr>
      <w:r>
        <w:t xml:space="preserve">Vorsatz § 261 StGB setzt </w:t>
      </w:r>
      <w:r>
        <w:rPr>
          <w:b/>
        </w:rPr>
        <w:t>Kenntnis der inkriminierten Herkunft</w:t>
      </w:r>
      <w:r>
        <w:t xml:space="preserve"> voraus. Pellbach hat dargelegt, dass Stefanovic als polnischer GF die Lizenz-Auskehrungen autonom strukturiert hat.</w:t>
      </w:r>
    </w:p>
    <w:p>
      <w:pPr>
        <w:jc w:val="left"/>
      </w:pPr>
      <w:r>
        <w:t>Daher: Freispruch.</w:t>
      </w:r>
    </w:p>
    <w:p>
      <w:pPr>
        <w:pStyle w:val="Heading3"/>
      </w:pPr>
      <w:r>
        <w:rPr>
          <w:rFonts w:ascii="Times New Roman" w:hAnsi="Times New Roman"/>
        </w:rPr>
        <w:t>2.2 § 264 StGB Subventionsbetrug</w:t>
      </w:r>
    </w:p>
    <w:p>
      <w:pPr>
        <w:jc w:val="left"/>
      </w:pPr>
      <w:r>
        <w:t>Die Anklage stützt den Vorwurf auf die KfW-Coronahilfe-Anträge November 2022 über 320.000 EUR. Die Beweisaufnahme hat (wird ggf.) ergeben:</w:t>
      </w:r>
    </w:p>
    <w:p>
      <w:pPr>
        <w:pStyle w:val="ListBullet"/>
      </w:pPr>
      <w:r>
        <w:t>Die Antragsausarbeitung erfolgte durch den Steuerberater Walter Engelmeier, der die DATEV-Umsatzzahlen November 2022 als Berechnungsbasis verwendet hat.</w:t>
      </w:r>
    </w:p>
    <w:p>
      <w:pPr>
        <w:pStyle w:val="ListBullet"/>
      </w:pPr>
      <w:r>
        <w:t>Mein Mandant hat den Antrag auf Plausibilität gepruft und unterzeichnet, jedoch nicht jede Einzelposition rechnerisch nachgepruft.</w:t>
      </w:r>
    </w:p>
    <w:p>
      <w:pPr>
        <w:pStyle w:val="ListBullet"/>
      </w:pPr>
      <w:r>
        <w:t>Der Q3-Umsatz-Anstieg im Antrag entspricht der vorläufigen DATEV-Auswertung November 2022; die spätere Wirtschaftsprüfer-Festsetzung des Jahresabschlusses ist von einer veränderten Umsatzabgrenzung geprägt.</w:t>
      </w:r>
    </w:p>
    <w:p>
      <w:pPr>
        <w:pStyle w:val="ListBullet"/>
      </w:pPr>
      <w:r>
        <w:t>Vorsatz Subventionsbetrug § 264 StGB ist nicht hinreichend sicher erwiesen — die Beraterabhängigkeit Pellbach &lt;-&gt; Engelmeier und die zeitlichen Umsatzabgrenzungs-Differenzen sprechen für fahrlässige Fehler in der Antragstellung. Fahrlässigkeit ist nicht strafbar (§ 264 setzt Vorsatz voraus).</w:t>
      </w:r>
    </w:p>
    <w:p>
      <w:pPr>
        <w:jc w:val="left"/>
      </w:pPr>
      <w:r>
        <w:t>Daher: Freispruch.</w:t>
      </w:r>
    </w:p>
    <w:p>
      <w:pPr>
        <w:pStyle w:val="Heading3"/>
      </w:pPr>
      <w:r>
        <w:rPr>
          <w:rFonts w:ascii="Times New Roman" w:hAnsi="Times New Roman"/>
        </w:rPr>
        <w:t>2.3 § 283 Abs. 1 Nr. 5 und 8 StGB — Bankrott (teilweise)</w:t>
      </w:r>
    </w:p>
    <w:p>
      <w:pPr>
        <w:jc w:val="left"/>
      </w:pPr>
      <w:r>
        <w:t>Die Anklage stützt diesen Vorwurf auf Vermögensschmälerung und Buchführungsmängel. Die Beweisaufnahme hat ergeben:</w:t>
      </w:r>
    </w:p>
    <w:p>
      <w:pPr>
        <w:pStyle w:val="ListBullet"/>
      </w:pPr>
      <w:r>
        <w:t>Buchführungsmängel betreffen Erfassungsverzögerungen, die durch die Personalbelastung der Buchhalterin Quasthoff in Q4 2024 erklärbar sind.</w:t>
      </w:r>
    </w:p>
    <w:p>
      <w:pPr>
        <w:pStyle w:val="ListBullet"/>
      </w:pPr>
      <w:r>
        <w:t xml:space="preserve">Vermögensschmälerung betrifft die Privatentnahmen, die Pellbach über § 266 StGB-Anerkennung bereits einräumt. Ein </w:t>
      </w:r>
      <w:r>
        <w:rPr>
          <w:b/>
        </w:rPr>
        <w:t>weitergehender</w:t>
      </w:r>
      <w:r>
        <w:t xml:space="preserve"> Bankrott-Vorwurf (z.B. Veraeusserung Vermögen zu unangemessenem Preis) ist nicht bewiesen.</w:t>
      </w:r>
    </w:p>
    <w:p>
      <w:pPr>
        <w:jc w:val="left"/>
      </w:pPr>
      <w:r>
        <w:t>Daher: Freispruch im weitergehenden Bankrott-Komplex; verbleibender Bankrott-Vorwurf wird als Schuld in § 266 StGB aufgehen (Tateinheit).</w:t>
      </w:r>
    </w:p>
    <w:p>
      <w:pPr>
        <w:pStyle w:val="Heading2"/>
      </w:pPr>
      <w:r>
        <w:rPr>
          <w:rFonts w:ascii="Times New Roman" w:hAnsi="Times New Roman"/>
        </w:rPr>
        <w:t>3. Antrag im übrigen: mildeste Strafe und § 56 II StGB Bewährung</w:t>
      </w:r>
    </w:p>
    <w:p>
      <w:pPr>
        <w:jc w:val="left"/>
      </w:pPr>
      <w:r>
        <w:t>Mein Mandant räumt offen ein:</w:t>
      </w:r>
    </w:p>
    <w:p>
      <w:pPr>
        <w:pStyle w:val="ListNumber"/>
      </w:pPr>
      <w:r>
        <w:rPr>
          <w:b/>
        </w:rPr>
        <w:t>§ 15a InsO</w:t>
      </w:r>
      <w:r>
        <w:t>: Verspätung 8 Wochen statt 3 Wochen — verbessert durch Sanierungsbemühung.</w:t>
      </w:r>
    </w:p>
    <w:p>
      <w:pPr>
        <w:pStyle w:val="ListNumber"/>
      </w:pPr>
      <w:r>
        <w:rPr>
          <w:b/>
        </w:rPr>
        <w:t>§ 266 StGB Untreue</w:t>
      </w:r>
      <w:r>
        <w:t>: 225.000 EUR Privatentnahmen — bereits 211.000 EUR an Insolvenzmasse zurückgeführt.</w:t>
      </w:r>
    </w:p>
    <w:p>
      <w:pPr>
        <w:pStyle w:val="ListNumber"/>
      </w:pPr>
      <w:r>
        <w:rPr>
          <w:b/>
        </w:rPr>
        <w:t>§ 266a StGB</w:t>
      </w:r>
      <w:r>
        <w:t>: SV-Beiträge November 2024 bis Februar 2025 — Notlage geprägt.</w:t>
      </w:r>
    </w:p>
    <w:p>
      <w:pPr>
        <w:pStyle w:val="ListNumber"/>
      </w:pPr>
      <w:r>
        <w:rPr>
          <w:b/>
        </w:rPr>
        <w:t>§ 370 AO USt</w:t>
      </w:r>
      <w:r>
        <w:t>: VAZ-Voranmeldungen zu niedrig oder verspätet — Selbstanzeige-Sperre wegen laufender Steuerfahndung.</w:t>
      </w:r>
    </w:p>
    <w:p>
      <w:pPr>
        <w:jc w:val="left"/>
      </w:pPr>
      <w:r>
        <w:t xml:space="preserve">Die Verteidigung hält eine Gesamtstrafe </w:t>
      </w:r>
      <w:r>
        <w:rPr>
          <w:b/>
        </w:rPr>
        <w:t>unter 2 Jahren</w:t>
      </w:r>
      <w:r>
        <w:t xml:space="preserve"> für schuldangemessen — auf Grund der zahlreichen mildernden Umstände (Sanierungsperspektive, Schadenswiedergutmachung, Tatkritik, Erstaeter, Familienlage, U-Haft 6 Monate, kriminologisch günstige Prognose). Mit Bewährungsauflagen (TOA, Geldauflage, Berufsverbot 5 Jahre, Therapie) ist dem Praeventionsgedanken auch ausserhalb des Vollzugs Genüge getan.</w:t>
      </w:r>
    </w:p>
    <w:p>
      <w:pPr>
        <w:pStyle w:val="Heading2"/>
      </w:pPr>
      <w:r>
        <w:rPr>
          <w:rFonts w:ascii="Times New Roman" w:hAnsi="Times New Roman"/>
        </w:rPr>
        <w:t>4. Schlussbemerkung</w:t>
      </w:r>
    </w:p>
    <w:p>
      <w:pPr>
        <w:jc w:val="left"/>
      </w:pPr>
      <w:r>
        <w:t xml:space="preserve">Mein Mandant nimmt seine Verantwortung wahr und unterzieht sich der Konsequenz seines Verhaltens. Er hat aber das verbriefte Recht, sich gegen Vorwürfe zur Wehr zu setzen, deren Vorsatzgrundlage nicht erwiesen ist. Wir bitten die Kammer um eine </w:t>
      </w:r>
      <w:r>
        <w:rPr>
          <w:b/>
        </w:rPr>
        <w:t>differenzierte Beweiswuerdigung</w:t>
      </w:r>
      <w:r>
        <w:t xml:space="preserve"> — namentlich auch unter Berucksichtigung der aussagepsychologischen Aspekte der Belastungszeugin Quasthoff, deren Aussage nicht im Sinne der Hypothesen-gegen-Hypothesen-Methode (BGH 30.07.1999 — 1 StR 618/98) bestätigt werden konnte.</w:t>
      </w:r>
    </w:p>
    <w:p>
      <w:pPr>
        <w:jc w:val="left"/>
      </w:pPr>
      <w:r>
        <w:t>Ich bedanke mich für Ihre Aufmerksamkeit.</w:t>
      </w:r>
    </w:p>
    <w:p>
      <w:pPr>
        <w:jc w:val="left"/>
      </w:pPr>
      <w:r>
        <w:t>Dr. Lia Vellbruck-Eisinger</w:t>
      </w:r>
    </w:p>
    <w:p>
      <w:pPr>
        <w:jc w:val="left"/>
      </w:pPr>
      <w:r>
        <w:t>Fachanwältin für Strafrecht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Hoher Senat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Hoher Senat</w:t>
    </w:r>
  </w:p>
  <w:p>
    <w:pPr>
      <w:jc w:val="left"/>
      <w:pBdr>
        <w:bottom w:val="single" w:sz="6" w:space="2" w:color="3B3F45"/>
      </w:pBdr>
    </w:pPr>
    <w:r>
      <w:rPr>
        <w:rFonts w:ascii="Times New Roman" w:hAnsi="Times New Roman"/>
        <w:color w:val="6B6B66"/>
        <w:sz w:val="16"/>
      </w:rPr>
      <w:t>Frau Vorsitzende, Herr Vorsitzender, sehr geehrte Mitglieder der Kammer, sehr geehrte Vertreterin der Staatsanwaltschaft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