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Due Diligence Scope und Materialitätsschwellen — Projekt Silberfalke</w:t>
      </w:r>
    </w:p>
    <w:p>
      <w:pPr>
        <w:jc w:val="left"/>
      </w:pPr>
      <w:r>
        <w:rPr>
          <w:b/>
        </w:rPr>
        <w:t>Aktenzeichen:</w:t>
      </w:r>
      <w:r>
        <w:t xml:space="preserve"> MWK/2024/SIL-001</w:t>
      </w:r>
    </w:p>
    <w:p>
      <w:pPr>
        <w:jc w:val="left"/>
      </w:pPr>
      <w:r>
        <w:rPr>
          <w:b/>
        </w:rPr>
        <w:t>Dokument-Nr.:</w:t>
      </w:r>
      <w:r>
        <w:t xml:space="preserve"> DD-SCOPE-001/SIL</w:t>
      </w:r>
    </w:p>
    <w:p>
      <w:pPr>
        <w:jc w:val="left"/>
      </w:pPr>
      <w:r>
        <w:rPr>
          <w:b/>
        </w:rPr>
        <w:t>Datum:</w:t>
      </w:r>
      <w:r>
        <w:t xml:space="preserve"> 11. Oktober 2024</w:t>
      </w:r>
    </w:p>
    <w:p>
      <w:pPr>
        <w:jc w:val="left"/>
      </w:pPr>
      <w:r>
        <w:rPr>
          <w:b/>
        </w:rPr>
        <w:t>Verfasser:</w:t>
      </w:r>
      <w:r>
        <w:t xml:space="preserve"> Dr. Markus Weidemann, Partner</w:t>
      </w:r>
    </w:p>
    <w:p>
      <w:pPr>
        <w:jc w:val="left"/>
      </w:pPr>
      <w:r>
        <w:rPr>
          <w:b/>
        </w:rPr>
        <w:t>Adressat:</w:t>
      </w:r>
      <w:r>
        <w:t xml:space="preserve"> Eagle Capital Partners GmbH &amp; Co. KG (z.Hd. Felix Brandl, Managing Director)</w:t>
      </w:r>
    </w:p>
    <w:p>
      <w:pPr>
        <w:jc w:val="left"/>
      </w:pPr>
      <w:r>
        <w:rPr>
          <w:b/>
        </w:rPr>
        <w:t>Betreff:</w:t>
      </w:r>
      <w:r>
        <w:t xml:space="preserve"> Due Diligence Scope, Materialitätsschwellen und Workstream-Einteilung — Solaris Industries AG</w:t>
      </w:r>
    </w:p>
    <w:p/>
    <w:p>
      <w:pPr>
        <w:pStyle w:val="Heading2"/>
      </w:pPr>
      <w:r>
        <w:rPr>
          <w:rFonts w:ascii="Times New Roman" w:hAnsi="Times New Roman"/>
        </w:rPr>
        <w:t>1. Einleitung und Auftrag</w:t>
      </w:r>
    </w:p>
    <w:p>
      <w:pPr>
        <w:jc w:val="left"/>
      </w:pPr>
      <w:r>
        <w:t>Das Deal Team von MWK Rechtsanwälte führt auf Anforderung von Eagle Capital Partners (nachfolgend "ECP" oder "Mandant") eine Legal Due Diligence (Legal DD) und eine Tax Due Diligence (Tax DD) der Solaris Industries AG und der Carve-out-Perimeter durch. Dieses Memo beschreibt den vereinbarten Prüfungsumfang (Scope), die anwendbaren Materialitätsschwellen sowie die Einteilung in Workstreams und die jeweilige Teambesetzung.</w:t>
      </w:r>
    </w:p>
    <w:p/>
    <w:p>
      <w:pPr>
        <w:pStyle w:val="Heading2"/>
      </w:pPr>
      <w:r>
        <w:rPr>
          <w:rFonts w:ascii="Times New Roman" w:hAnsi="Times New Roman"/>
        </w:rPr>
        <w:t>2. Prüfungsgegenstand (Scope)</w:t>
      </w:r>
    </w:p>
    <w:p>
      <w:pPr>
        <w:pStyle w:val="Heading3"/>
      </w:pPr>
      <w:r>
        <w:rPr>
          <w:rFonts w:ascii="Times New Roman" w:hAnsi="Times New Roman"/>
        </w:rPr>
        <w:t>2.1 In-Scope (Rechtliche und steuerliche Prüfung)</w:t>
      </w:r>
    </w:p>
    <w:p>
      <w:pPr>
        <w:jc w:val="left"/>
      </w:pPr>
      <w:r>
        <w:t>Die DD umfasst die folgenden Einheiten:</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Einheit</w:t>
            </w:r>
          </w:p>
        </w:tc>
        <w:tc>
          <w:tcPr>
            <w:tcW w:type="dxa" w:w="2268"/>
          </w:tcPr>
          <w:p>
            <w:r>
              <w:rPr>
                <w:rFonts w:ascii="Times New Roman" w:hAnsi="Times New Roman"/>
                <w:b/>
                <w:sz w:val="20"/>
              </w:rPr>
              <w:t>Rechtsform</w:t>
            </w:r>
          </w:p>
        </w:tc>
        <w:tc>
          <w:tcPr>
            <w:tcW w:type="dxa" w:w="2268"/>
          </w:tcPr>
          <w:p>
            <w:r>
              <w:rPr>
                <w:rFonts w:ascii="Times New Roman" w:hAnsi="Times New Roman"/>
                <w:b/>
                <w:sz w:val="20"/>
              </w:rPr>
              <w:t>Sitz</w:t>
            </w:r>
          </w:p>
        </w:tc>
        <w:tc>
          <w:tcPr>
            <w:tcW w:type="dxa" w:w="2268"/>
          </w:tcPr>
          <w:p>
            <w:r>
              <w:rPr>
                <w:rFonts w:ascii="Times New Roman" w:hAnsi="Times New Roman"/>
                <w:b/>
                <w:sz w:val="20"/>
              </w:rPr>
              <w:t>In Scope</w:t>
            </w:r>
          </w:p>
        </w:tc>
      </w:tr>
      <w:tr>
        <w:tc>
          <w:tcPr>
            <w:tcW w:type="dxa" w:w="2268"/>
          </w:tcPr>
          <w:p>
            <w:r>
              <w:rPr>
                <w:rFonts w:ascii="Times New Roman" w:hAnsi="Times New Roman"/>
                <w:sz w:val="20"/>
              </w:rPr>
              <w:t>Solaris Industries AG</w:t>
            </w:r>
          </w:p>
        </w:tc>
        <w:tc>
          <w:tcPr>
            <w:tcW w:type="dxa" w:w="2268"/>
          </w:tcPr>
          <w:p>
            <w:r>
              <w:rPr>
                <w:rFonts w:ascii="Times New Roman" w:hAnsi="Times New Roman"/>
                <w:sz w:val="20"/>
              </w:rPr>
              <w:t>AG</w:t>
            </w:r>
          </w:p>
        </w:tc>
        <w:tc>
          <w:tcPr>
            <w:tcW w:type="dxa" w:w="2268"/>
          </w:tcPr>
          <w:p>
            <w:r>
              <w:rPr>
                <w:rFonts w:ascii="Times New Roman" w:hAnsi="Times New Roman"/>
                <w:sz w:val="20"/>
              </w:rPr>
              <w:t>Augsburg</w:t>
            </w:r>
          </w:p>
        </w:tc>
        <w:tc>
          <w:tcPr>
            <w:tcW w:type="dxa" w:w="2268"/>
          </w:tcPr>
          <w:p>
            <w:r>
              <w:rPr>
                <w:rFonts w:ascii="Times New Roman" w:hAnsi="Times New Roman"/>
                <w:sz w:val="20"/>
              </w:rPr>
              <w:t>Vollständig</w:t>
            </w:r>
          </w:p>
        </w:tc>
      </w:tr>
      <w:tr>
        <w:tc>
          <w:tcPr>
            <w:tcW w:type="dxa" w:w="2268"/>
          </w:tcPr>
          <w:p>
            <w:r>
              <w:rPr>
                <w:rFonts w:ascii="Times New Roman" w:hAnsi="Times New Roman"/>
                <w:sz w:val="20"/>
              </w:rPr>
              <w:t>Solaris Service GmbH</w:t>
            </w:r>
          </w:p>
        </w:tc>
        <w:tc>
          <w:tcPr>
            <w:tcW w:type="dxa" w:w="2268"/>
          </w:tcPr>
          <w:p>
            <w:r>
              <w:rPr>
                <w:rFonts w:ascii="Times New Roman" w:hAnsi="Times New Roman"/>
                <w:sz w:val="20"/>
              </w:rPr>
              <w:t>GmbH</w:t>
            </w:r>
          </w:p>
        </w:tc>
        <w:tc>
          <w:tcPr>
            <w:tcW w:type="dxa" w:w="2268"/>
          </w:tcPr>
          <w:p>
            <w:r>
              <w:rPr>
                <w:rFonts w:ascii="Times New Roman" w:hAnsi="Times New Roman"/>
                <w:sz w:val="20"/>
              </w:rPr>
              <w:t>Augsburg</w:t>
            </w:r>
          </w:p>
        </w:tc>
        <w:tc>
          <w:tcPr>
            <w:tcW w:type="dxa" w:w="2268"/>
          </w:tcPr>
          <w:p>
            <w:r>
              <w:rPr>
                <w:rFonts w:ascii="Times New Roman" w:hAnsi="Times New Roman"/>
                <w:sz w:val="20"/>
              </w:rPr>
              <w:t>Vollständig (Carve-out)</w:t>
            </w:r>
          </w:p>
        </w:tc>
      </w:tr>
      <w:tr>
        <w:tc>
          <w:tcPr>
            <w:tcW w:type="dxa" w:w="2268"/>
          </w:tcPr>
          <w:p>
            <w:r>
              <w:rPr>
                <w:rFonts w:ascii="Times New Roman" w:hAnsi="Times New Roman"/>
                <w:sz w:val="20"/>
              </w:rPr>
              <w:t>Solaris Distribution Italia S.r.l.</w:t>
            </w:r>
          </w:p>
        </w:tc>
        <w:tc>
          <w:tcPr>
            <w:tcW w:type="dxa" w:w="2268"/>
          </w:tcPr>
          <w:p>
            <w:r>
              <w:rPr>
                <w:rFonts w:ascii="Times New Roman" w:hAnsi="Times New Roman"/>
                <w:sz w:val="20"/>
              </w:rPr>
              <w:t>S.r.l.</w:t>
            </w:r>
          </w:p>
        </w:tc>
        <w:tc>
          <w:tcPr>
            <w:tcW w:type="dxa" w:w="2268"/>
          </w:tcPr>
          <w:p>
            <w:r>
              <w:rPr>
                <w:rFonts w:ascii="Times New Roman" w:hAnsi="Times New Roman"/>
                <w:sz w:val="20"/>
              </w:rPr>
              <w:t>Mailand (IT)</w:t>
            </w:r>
          </w:p>
        </w:tc>
        <w:tc>
          <w:tcPr>
            <w:tcW w:type="dxa" w:w="2268"/>
          </w:tcPr>
          <w:p>
            <w:r>
              <w:rPr>
                <w:rFonts w:ascii="Times New Roman" w:hAnsi="Times New Roman"/>
                <w:sz w:val="20"/>
              </w:rPr>
              <w:t>Beschränkt (Red Flag / Local Counsel)</w:t>
            </w:r>
          </w:p>
        </w:tc>
      </w:tr>
      <w:tr>
        <w:tc>
          <w:tcPr>
            <w:tcW w:type="dxa" w:w="2268"/>
          </w:tcPr>
          <w:p>
            <w:r>
              <w:rPr>
                <w:rFonts w:ascii="Times New Roman" w:hAnsi="Times New Roman"/>
                <w:sz w:val="20"/>
              </w:rPr>
              <w:t>Solaris Distribution US Inc.</w:t>
            </w:r>
          </w:p>
        </w:tc>
        <w:tc>
          <w:tcPr>
            <w:tcW w:type="dxa" w:w="2268"/>
          </w:tcPr>
          <w:p>
            <w:r>
              <w:rPr>
                <w:rFonts w:ascii="Times New Roman" w:hAnsi="Times New Roman"/>
                <w:sz w:val="20"/>
              </w:rPr>
              <w:t>C-Corp</w:t>
            </w:r>
          </w:p>
        </w:tc>
        <w:tc>
          <w:tcPr>
            <w:tcW w:type="dxa" w:w="2268"/>
          </w:tcPr>
          <w:p>
            <w:r>
              <w:rPr>
                <w:rFonts w:ascii="Times New Roman" w:hAnsi="Times New Roman"/>
                <w:sz w:val="20"/>
              </w:rPr>
              <w:t>Delaware (USA)</w:t>
            </w:r>
          </w:p>
        </w:tc>
        <w:tc>
          <w:tcPr>
            <w:tcW w:type="dxa" w:w="2268"/>
          </w:tcPr>
          <w:p>
            <w:r>
              <w:rPr>
                <w:rFonts w:ascii="Times New Roman" w:hAnsi="Times New Roman"/>
                <w:sz w:val="20"/>
              </w:rPr>
              <w:t>Beschränkt (US Tax / Local Counsel)</w:t>
            </w:r>
          </w:p>
        </w:tc>
      </w:tr>
      <w:tr>
        <w:tc>
          <w:tcPr>
            <w:tcW w:type="dxa" w:w="2268"/>
          </w:tcPr>
          <w:p>
            <w:r>
              <w:rPr>
                <w:rFonts w:ascii="Times New Roman" w:hAnsi="Times New Roman"/>
                <w:sz w:val="20"/>
              </w:rPr>
              <w:t>Solaris Distribution Singapore Pte. Ltd.</w:t>
            </w:r>
          </w:p>
        </w:tc>
        <w:tc>
          <w:tcPr>
            <w:tcW w:type="dxa" w:w="2268"/>
          </w:tcPr>
          <w:p>
            <w:r>
              <w:rPr>
                <w:rFonts w:ascii="Times New Roman" w:hAnsi="Times New Roman"/>
                <w:sz w:val="20"/>
              </w:rPr>
              <w:t>Pte. Ltd.</w:t>
            </w:r>
          </w:p>
        </w:tc>
        <w:tc>
          <w:tcPr>
            <w:tcW w:type="dxa" w:w="2268"/>
          </w:tcPr>
          <w:p>
            <w:r>
              <w:rPr>
                <w:rFonts w:ascii="Times New Roman" w:hAnsi="Times New Roman"/>
                <w:sz w:val="20"/>
              </w:rPr>
              <w:t>Singapur</w:t>
            </w:r>
          </w:p>
        </w:tc>
        <w:tc>
          <w:tcPr>
            <w:tcW w:type="dxa" w:w="2268"/>
          </w:tcPr>
          <w:p>
            <w:r>
              <w:rPr>
                <w:rFonts w:ascii="Times New Roman" w:hAnsi="Times New Roman"/>
                <w:sz w:val="20"/>
              </w:rPr>
              <w:t>Beschränkt (Local Counsel)</w:t>
            </w:r>
          </w:p>
        </w:tc>
      </w:tr>
    </w:tbl>
    <w:p>
      <w:pPr>
        <w:jc w:val="left"/>
      </w:pPr>
      <w:r>
        <w:t>Local Counsel wurden bereits angefragt: Morano &amp; Associati (Mailand), Baker &amp; Wilson LLP (New York), Tan, Lim &amp; Partners (Singapur).</w:t>
      </w:r>
    </w:p>
    <w:p>
      <w:pPr>
        <w:pStyle w:val="Heading3"/>
      </w:pPr>
      <w:r>
        <w:rPr>
          <w:rFonts w:ascii="Times New Roman" w:hAnsi="Times New Roman"/>
        </w:rPr>
        <w:t>2.2 Out of Scope</w:t>
      </w:r>
    </w:p>
    <w:p>
      <w:pPr>
        <w:pStyle w:val="ListBullet"/>
      </w:pPr>
      <w:r>
        <w:t>Bereiche der Solaris Familienholding AG, die nicht zum PDS-Carve-out gehören</w:t>
      </w:r>
    </w:p>
    <w:p>
      <w:pPr>
        <w:pStyle w:val="ListBullet"/>
      </w:pPr>
      <w:r>
        <w:t>Commercial Due Diligence (wird durch McKinsey &amp; Company, Düsseldorf, durchgeführt)</w:t>
      </w:r>
    </w:p>
    <w:p>
      <w:pPr>
        <w:pStyle w:val="ListBullet"/>
      </w:pPr>
      <w:r>
        <w:t>Financial Due Diligence (wird durch Alvarez &amp; Marsal, Frankfurt, durchgeführt)</w:t>
      </w:r>
    </w:p>
    <w:p>
      <w:pPr>
        <w:pStyle w:val="ListBullet"/>
      </w:pPr>
      <w:r>
        <w:t>Environmental / Technical DD (wird durch TüV Süd beauftragt; separater Auftrag)</w:t>
      </w:r>
    </w:p>
    <w:p/>
    <w:p>
      <w:pPr>
        <w:pStyle w:val="Heading2"/>
      </w:pPr>
      <w:r>
        <w:rPr>
          <w:rFonts w:ascii="Times New Roman" w:hAnsi="Times New Roman"/>
        </w:rPr>
        <w:t>3. Materialitätsschwellen</w:t>
      </w:r>
    </w:p>
    <w:p>
      <w:pPr>
        <w:jc w:val="left"/>
      </w:pPr>
      <w:r>
        <w:t>Für diese Transaktion gelten die folgenden Schwellenwerte, die mit ECP am 10. Oktober 2024 telefonisch abgestimmt wurden:</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Kategorie</w:t>
            </w:r>
          </w:p>
        </w:tc>
        <w:tc>
          <w:tcPr>
            <w:tcW w:type="dxa" w:w="3024"/>
          </w:tcPr>
          <w:p>
            <w:r>
              <w:rPr>
                <w:rFonts w:ascii="Times New Roman" w:hAnsi="Times New Roman"/>
                <w:b/>
                <w:sz w:val="20"/>
              </w:rPr>
              <w:t>Schwellenwert</w:t>
            </w:r>
          </w:p>
        </w:tc>
        <w:tc>
          <w:tcPr>
            <w:tcW w:type="dxa" w:w="3024"/>
          </w:tcPr>
          <w:p>
            <w:r>
              <w:rPr>
                <w:rFonts w:ascii="Times New Roman" w:hAnsi="Times New Roman"/>
                <w:b/>
                <w:sz w:val="20"/>
              </w:rPr>
              <w:t>Erläuterung</w:t>
            </w:r>
          </w:p>
        </w:tc>
      </w:tr>
      <w:tr>
        <w:tc>
          <w:tcPr>
            <w:tcW w:type="dxa" w:w="3024"/>
          </w:tcPr>
          <w:p>
            <w:r>
              <w:rPr>
                <w:rFonts w:ascii="Times New Roman" w:hAnsi="Times New Roman"/>
                <w:sz w:val="20"/>
              </w:rPr>
              <w:t>Allgemeine Materialität</w:t>
            </w:r>
          </w:p>
        </w:tc>
        <w:tc>
          <w:tcPr>
            <w:tcW w:type="dxa" w:w="3024"/>
          </w:tcPr>
          <w:p>
            <w:r>
              <w:rPr>
                <w:rFonts w:ascii="Times New Roman" w:hAnsi="Times New Roman"/>
                <w:sz w:val="20"/>
              </w:rPr>
              <w:t>EUR 250.000</w:t>
            </w:r>
          </w:p>
        </w:tc>
        <w:tc>
          <w:tcPr>
            <w:tcW w:type="dxa" w:w="3024"/>
          </w:tcPr>
          <w:p>
            <w:r>
              <w:rPr>
                <w:rFonts w:ascii="Times New Roman" w:hAnsi="Times New Roman"/>
                <w:sz w:val="20"/>
              </w:rPr>
              <w:t>Einzelner Sachverhalt, der den Kaufpreis oder das Risikoprofil beeinflussen könnte</w:t>
            </w:r>
          </w:p>
        </w:tc>
      </w:tr>
      <w:tr>
        <w:tc>
          <w:tcPr>
            <w:tcW w:type="dxa" w:w="3024"/>
          </w:tcPr>
          <w:p>
            <w:r>
              <w:rPr>
                <w:rFonts w:ascii="Times New Roman" w:hAnsi="Times New Roman"/>
                <w:sz w:val="20"/>
              </w:rPr>
              <w:t>Red Flag (High Risk)</w:t>
            </w:r>
          </w:p>
        </w:tc>
        <w:tc>
          <w:tcPr>
            <w:tcW w:type="dxa" w:w="3024"/>
          </w:tcPr>
          <w:p>
            <w:r>
              <w:rPr>
                <w:rFonts w:ascii="Times New Roman" w:hAnsi="Times New Roman"/>
                <w:sz w:val="20"/>
              </w:rPr>
              <w:t>EUR 1.000.000</w:t>
            </w:r>
          </w:p>
        </w:tc>
        <w:tc>
          <w:tcPr>
            <w:tcW w:type="dxa" w:w="3024"/>
          </w:tcPr>
          <w:p>
            <w:r>
              <w:rPr>
                <w:rFonts w:ascii="Times New Roman" w:hAnsi="Times New Roman"/>
                <w:sz w:val="20"/>
              </w:rPr>
              <w:t>Sachverhalte, die sofort ECP und dem Finanzberater zu melden sind</w:t>
            </w:r>
          </w:p>
        </w:tc>
      </w:tr>
      <w:tr>
        <w:tc>
          <w:tcPr>
            <w:tcW w:type="dxa" w:w="3024"/>
          </w:tcPr>
          <w:p>
            <w:r>
              <w:rPr>
                <w:rFonts w:ascii="Times New Roman" w:hAnsi="Times New Roman"/>
                <w:sz w:val="20"/>
              </w:rPr>
              <w:t>Closing-Blocker</w:t>
            </w:r>
          </w:p>
        </w:tc>
        <w:tc>
          <w:tcPr>
            <w:tcW w:type="dxa" w:w="3024"/>
          </w:tcPr>
          <w:p>
            <w:r>
              <w:rPr>
                <w:rFonts w:ascii="Times New Roman" w:hAnsi="Times New Roman"/>
                <w:sz w:val="20"/>
              </w:rPr>
              <w:t>Qualitativ</w:t>
            </w:r>
          </w:p>
        </w:tc>
        <w:tc>
          <w:tcPr>
            <w:tcW w:type="dxa" w:w="3024"/>
          </w:tcPr>
          <w:p>
            <w:r>
              <w:rPr>
                <w:rFonts w:ascii="Times New Roman" w:hAnsi="Times New Roman"/>
                <w:sz w:val="20"/>
              </w:rPr>
              <w:t>Sachverhalte, die einen Deal-Abschluss verhindern würden (z. B. fehlende behördliche Genehmigungen, Sanktionstreffer, Insolvenzantrag)</w:t>
            </w:r>
          </w:p>
        </w:tc>
      </w:tr>
      <w:tr>
        <w:tc>
          <w:tcPr>
            <w:tcW w:type="dxa" w:w="3024"/>
          </w:tcPr>
          <w:p>
            <w:r>
              <w:rPr>
                <w:rFonts w:ascii="Times New Roman" w:hAnsi="Times New Roman"/>
                <w:sz w:val="20"/>
              </w:rPr>
              <w:t>Garantieverletzung (SPA-relevant)</w:t>
            </w:r>
          </w:p>
        </w:tc>
        <w:tc>
          <w:tcPr>
            <w:tcW w:type="dxa" w:w="3024"/>
          </w:tcPr>
          <w:p>
            <w:r>
              <w:rPr>
                <w:rFonts w:ascii="Times New Roman" w:hAnsi="Times New Roman"/>
                <w:sz w:val="20"/>
              </w:rPr>
              <w:t>EUR 100.000</w:t>
            </w:r>
          </w:p>
        </w:tc>
        <w:tc>
          <w:tcPr>
            <w:tcW w:type="dxa" w:w="3024"/>
          </w:tcPr>
          <w:p>
            <w:r>
              <w:rPr>
                <w:rFonts w:ascii="Times New Roman" w:hAnsi="Times New Roman"/>
                <w:sz w:val="20"/>
              </w:rPr>
              <w:t>Sachverhalte, die unter eine Garantie des SPA fallen und den Garantieschwellenwert überschreiten</w:t>
            </w:r>
          </w:p>
        </w:tc>
      </w:tr>
      <w:tr>
        <w:tc>
          <w:tcPr>
            <w:tcW w:type="dxa" w:w="3024"/>
          </w:tcPr>
          <w:p>
            <w:r>
              <w:rPr>
                <w:rFonts w:ascii="Times New Roman" w:hAnsi="Times New Roman"/>
                <w:sz w:val="20"/>
              </w:rPr>
              <w:t>Freistellungsklausel</w:t>
            </w:r>
          </w:p>
        </w:tc>
        <w:tc>
          <w:tcPr>
            <w:tcW w:type="dxa" w:w="3024"/>
          </w:tcPr>
          <w:p>
            <w:r>
              <w:rPr>
                <w:rFonts w:ascii="Times New Roman" w:hAnsi="Times New Roman"/>
                <w:sz w:val="20"/>
              </w:rPr>
              <w:t>Keine Schwelle</w:t>
            </w:r>
          </w:p>
        </w:tc>
        <w:tc>
          <w:tcPr>
            <w:tcW w:type="dxa" w:w="3024"/>
          </w:tcPr>
          <w:p>
            <w:r>
              <w:rPr>
                <w:rFonts w:ascii="Times New Roman" w:hAnsi="Times New Roman"/>
                <w:sz w:val="20"/>
              </w:rPr>
              <w:t>Bekannte, identifizierte Risiken werden als Freistellungen im SPA behandelt (unabhängig von der Höhe)</w:t>
            </w:r>
          </w:p>
        </w:tc>
      </w:tr>
    </w:tbl>
    <w:p/>
    <w:p>
      <w:pPr>
        <w:pStyle w:val="Heading2"/>
      </w:pPr>
      <w:r>
        <w:rPr>
          <w:rFonts w:ascii="Times New Roman" w:hAnsi="Times New Roman"/>
        </w:rPr>
        <w:t>4. Workstreams und Teambesetzung</w:t>
      </w:r>
    </w:p>
    <w:p>
      <w:pPr>
        <w:pStyle w:val="Heading3"/>
      </w:pPr>
      <w:r>
        <w:rPr>
          <w:rFonts w:ascii="Times New Roman" w:hAnsi="Times New Roman"/>
        </w:rPr>
        <w:t>4.1 Corporate / Gesellschaftsrecht</w:t>
      </w:r>
    </w:p>
    <w:p>
      <w:pPr>
        <w:jc w:val="left"/>
      </w:pPr>
      <w:r>
        <w:rPr>
          <w:b/>
        </w:rPr>
        <w:t>Prüfungsschwerpunkte:</w:t>
      </w:r>
    </w:p>
    <w:p>
      <w:pPr>
        <w:pStyle w:val="ListBullet"/>
      </w:pPr>
      <w:r>
        <w:t>Gründungsunterlagen, Satzung, HRB-Eintragungen (Solaris Industries AG, Service GmbH)</w:t>
      </w:r>
    </w:p>
    <w:p>
      <w:pPr>
        <w:pStyle w:val="ListBullet"/>
      </w:pPr>
      <w:r>
        <w:t>Gesellschafterstruktur, UBO-Nachweis, Minderheitsrechte (5,3 % Splitterminderheit)</w:t>
      </w:r>
    </w:p>
    <w:p>
      <w:pPr>
        <w:pStyle w:val="ListBullet"/>
      </w:pPr>
      <w:r>
        <w:t>Ausgliederungsvertrag (Carve-out Vorbereitungsmaßnahme): Rechtmäßigkeit, Vollständigkeit</w:t>
      </w:r>
    </w:p>
    <w:p>
      <w:pPr>
        <w:pStyle w:val="ListBullet"/>
      </w:pPr>
      <w:r>
        <w:t>Gesellschafterbeschlüsse und Aufsichtsratsprotokolle (insb. Transaktionsgenehmigung)</w:t>
      </w:r>
    </w:p>
    <w:p>
      <w:pPr>
        <w:pStyle w:val="ListBullet"/>
      </w:pPr>
      <w:r>
        <w:t>Tochtergesellschaften: Gründungsurkunden, Anteilsübertragbarkeit (lokales Recht)</w:t>
      </w:r>
    </w:p>
    <w:p>
      <w:pPr>
        <w:jc w:val="left"/>
      </w:pPr>
      <w:r>
        <w:rPr>
          <w:b/>
        </w:rPr>
        <w:t>Team:</w:t>
      </w:r>
      <w:r>
        <w:t xml:space="preserve"> Katharina Pfeiffer (Lead), Tim Berger (Support)</w:t>
      </w:r>
    </w:p>
    <w:p>
      <w:pPr>
        <w:pStyle w:val="Heading3"/>
      </w:pPr>
      <w:r>
        <w:rPr>
          <w:rFonts w:ascii="Times New Roman" w:hAnsi="Times New Roman"/>
        </w:rPr>
        <w:t>4.2 Commercial / Vertragsrecht</w:t>
      </w:r>
    </w:p>
    <w:p>
      <w:pPr>
        <w:jc w:val="left"/>
      </w:pPr>
      <w:r>
        <w:rPr>
          <w:b/>
        </w:rPr>
        <w:t>Prüfungsschwerpunkte:</w:t>
      </w:r>
    </w:p>
    <w:p>
      <w:pPr>
        <w:pStyle w:val="ListBullet"/>
      </w:pPr>
      <w:r>
        <w:t>Top-20-Kundenverträge (Change-of-Control, Laufzeit, Exklusivität, Haftungsobergrenzen)</w:t>
      </w:r>
    </w:p>
    <w:p>
      <w:pPr>
        <w:pStyle w:val="ListBullet"/>
      </w:pPr>
      <w:r>
        <w:t>Wesentliche Lieferantenverträge (Halbleiter-Lieferanten, Logistik)</w:t>
      </w:r>
    </w:p>
    <w:p>
      <w:pPr>
        <w:pStyle w:val="ListBullet"/>
      </w:pPr>
      <w:r>
        <w:t>S-Care-Servicevertragsportfolio (Laufzeiten, Kündigungsrechte)</w:t>
      </w:r>
    </w:p>
    <w:p>
      <w:pPr>
        <w:pStyle w:val="ListBullet"/>
      </w:pPr>
      <w:r>
        <w:t>TSA-Entwürfe (IT, HR, Treasury, Versicherung) — Vollständigkeit, Marktüblichkeit</w:t>
      </w:r>
    </w:p>
    <w:p>
      <w:pPr>
        <w:pStyle w:val="ListBullet"/>
      </w:pPr>
      <w:r>
        <w:t>Kartellrechtliche Aspekte (Ausschließlichkeits-, Preisbindungsklauseln)</w:t>
      </w:r>
    </w:p>
    <w:p>
      <w:pPr>
        <w:jc w:val="left"/>
      </w:pPr>
      <w:r>
        <w:rPr>
          <w:b/>
        </w:rPr>
        <w:t>Team:</w:t>
      </w:r>
      <w:r>
        <w:t xml:space="preserve"> Katharina Pfeiffer (Lead), extern: Wirtschaftsjurist Auftragspartner</w:t>
      </w:r>
    </w:p>
    <w:p>
      <w:pPr>
        <w:pStyle w:val="Heading3"/>
      </w:pPr>
      <w:r>
        <w:rPr>
          <w:rFonts w:ascii="Times New Roman" w:hAnsi="Times New Roman"/>
        </w:rPr>
        <w:t>4.3 Employment / Arbeitsrecht</w:t>
      </w:r>
    </w:p>
    <w:p>
      <w:pPr>
        <w:jc w:val="left"/>
      </w:pPr>
      <w:r>
        <w:rPr>
          <w:b/>
        </w:rPr>
        <w:t>Prüfungsschwerpunkte:</w:t>
      </w:r>
    </w:p>
    <w:p>
      <w:pPr>
        <w:pStyle w:val="ListBullet"/>
      </w:pPr>
      <w:r>
        <w:t>Betriebsübergang (§ 613a BGB): Klassifizierung Asset vs. Share Deal; Widerspruchsrecht</w:t>
      </w:r>
    </w:p>
    <w:p>
      <w:pPr>
        <w:pStyle w:val="ListBullet"/>
      </w:pPr>
      <w:r>
        <w:t>Betriebsvereinbarungen: Vollständigkeit, Schutzzweck, Betriebsratsanhörung</w:t>
      </w:r>
    </w:p>
    <w:p>
      <w:pPr>
        <w:pStyle w:val="ListBullet"/>
      </w:pPr>
      <w:r>
        <w:t>Schlüsselmitarbeiter: Sonderkündigungsschutz, Retention-Klauseln, Non-Compete</w:t>
      </w:r>
    </w:p>
    <w:p>
      <w:pPr>
        <w:pStyle w:val="ListBullet"/>
      </w:pPr>
      <w:r>
        <w:t>Leiharbeitnehmer: Vertragsverhältnisse, Equal-Pay-Risiken</w:t>
      </w:r>
    </w:p>
    <w:p>
      <w:pPr>
        <w:pStyle w:val="ListBullet"/>
      </w:pPr>
      <w:r>
        <w:t>Konzerninterner Personalservice: Kündigungsfristen, Überleitung</w:t>
      </w:r>
    </w:p>
    <w:p>
      <w:pPr>
        <w:jc w:val="left"/>
      </w:pPr>
      <w:r>
        <w:rPr>
          <w:b/>
        </w:rPr>
        <w:t>Team:</w:t>
      </w:r>
      <w:r>
        <w:t xml:space="preserve"> Fabian Köhler (Lead), Assistenz durch Employment-Assistent</w:t>
      </w:r>
    </w:p>
    <w:p>
      <w:pPr>
        <w:pStyle w:val="Heading3"/>
      </w:pPr>
      <w:r>
        <w:rPr>
          <w:rFonts w:ascii="Times New Roman" w:hAnsi="Times New Roman"/>
        </w:rPr>
        <w:t>4.4 Intellectual Property / IT</w:t>
      </w:r>
    </w:p>
    <w:p>
      <w:pPr>
        <w:jc w:val="left"/>
      </w:pPr>
      <w:r>
        <w:rPr>
          <w:b/>
        </w:rPr>
        <w:t>Prüfungsschwerpunkte:</w:t>
      </w:r>
    </w:p>
    <w:p>
      <w:pPr>
        <w:pStyle w:val="ListBullet"/>
      </w:pPr>
      <w:r>
        <w:t>Eigentumsstruktur IP (Patente, Marken): Wer ist eingetragener Eigentümer?</w:t>
      </w:r>
    </w:p>
    <w:p>
      <w:pPr>
        <w:pStyle w:val="ListBullet"/>
      </w:pPr>
      <w:r>
        <w:t>IP-Abtretungsvertrag 2018 (Gründer → Holding): Gültigkeit, Vollständigkeit, Registrierung</w:t>
      </w:r>
    </w:p>
    <w:p>
      <w:pPr>
        <w:pStyle w:val="ListBullet"/>
      </w:pPr>
      <w:r>
        <w:t>Software-Lizenzkette (Open-Source-Compliance, Third-Party-Lizenzen)</w:t>
      </w:r>
    </w:p>
    <w:p>
      <w:pPr>
        <w:pStyle w:val="ListBullet"/>
      </w:pPr>
      <w:r>
        <w:t>IT-Sicherheitsrisiken, DSGVO-Compliance, Datenschutzaudit</w:t>
      </w:r>
    </w:p>
    <w:p>
      <w:pPr>
        <w:jc w:val="left"/>
      </w:pPr>
      <w:r>
        <w:rPr>
          <w:b/>
        </w:rPr>
        <w:t>Team:</w:t>
      </w:r>
      <w:r>
        <w:t xml:space="preserve"> Dr. Lena Brandt (Lead), IT-Security-Berater (extern)</w:t>
      </w:r>
    </w:p>
    <w:p>
      <w:pPr>
        <w:pStyle w:val="Heading3"/>
      </w:pPr>
      <w:r>
        <w:rPr>
          <w:rFonts w:ascii="Times New Roman" w:hAnsi="Times New Roman"/>
        </w:rPr>
        <w:t>4.5 Regulatory / Exportkontrolle / FDI</w:t>
      </w:r>
    </w:p>
    <w:p>
      <w:pPr>
        <w:jc w:val="left"/>
      </w:pPr>
      <w:r>
        <w:rPr>
          <w:b/>
        </w:rPr>
        <w:t>Prüfungsschwerpunkte:</w:t>
      </w:r>
    </w:p>
    <w:p>
      <w:pPr>
        <w:pStyle w:val="ListBullet"/>
      </w:pPr>
      <w:r>
        <w:t>Dual-Use-Klassifizierung der Produktbaureihen PDS-500 und PDS-800</w:t>
      </w:r>
    </w:p>
    <w:p>
      <w:pPr>
        <w:pStyle w:val="ListBullet"/>
      </w:pPr>
      <w:r>
        <w:t>BAFA-Genehmigungen: Vorlage und Gültigkeit; offene Anträge</w:t>
      </w:r>
    </w:p>
    <w:p>
      <w:pPr>
        <w:pStyle w:val="ListBullet"/>
      </w:pPr>
      <w:r>
        <w:t>AWV-Meldepflicht (§ 55 AWV): Einschlägigkeit, Anmeldestrategie</w:t>
      </w:r>
    </w:p>
    <w:p>
      <w:pPr>
        <w:pStyle w:val="ListBullet"/>
      </w:pPr>
      <w:r>
        <w:t>FDI-Screening: USA (CFIUS), Singapore (keine Meldepflicht erwartet)</w:t>
      </w:r>
    </w:p>
    <w:p>
      <w:pPr>
        <w:pStyle w:val="ListBullet"/>
      </w:pPr>
      <w:r>
        <w:t>Fusionskontrolle DE: §§ 35 ff. GWB (voraussichtlich anmeldepflichtig)</w:t>
      </w:r>
    </w:p>
    <w:p>
      <w:pPr>
        <w:jc w:val="left"/>
      </w:pPr>
      <w:r>
        <w:rPr>
          <w:b/>
        </w:rPr>
        <w:t>Team:</w:t>
      </w:r>
      <w:r>
        <w:t xml:space="preserve"> Dr. Hans-Peter Fuchs (Lead)</w:t>
      </w:r>
    </w:p>
    <w:p>
      <w:pPr>
        <w:pStyle w:val="Heading3"/>
      </w:pPr>
      <w:r>
        <w:rPr>
          <w:rFonts w:ascii="Times New Roman" w:hAnsi="Times New Roman"/>
        </w:rPr>
        <w:t>4.6 Tax</w:t>
      </w:r>
    </w:p>
    <w:p>
      <w:pPr>
        <w:jc w:val="left"/>
      </w:pPr>
      <w:r>
        <w:rPr>
          <w:b/>
        </w:rPr>
        <w:t>Prüfungsschwerpunkte:</w:t>
      </w:r>
    </w:p>
    <w:p>
      <w:pPr>
        <w:pStyle w:val="ListBullet"/>
      </w:pPr>
      <w:r>
        <w:t>Umwandlung 2024: Rückwirkungszeitraum, steuerliche Bemessungsgrundlage, latente Steuern</w:t>
      </w:r>
    </w:p>
    <w:p>
      <w:pPr>
        <w:pStyle w:val="ListBullet"/>
      </w:pPr>
      <w:r>
        <w:t>§ 8c KStG: Auswirkung des Beteiligungserwerbs auf Verlustvorträge (ca. EUR 12 Mio.)</w:t>
      </w:r>
    </w:p>
    <w:p>
      <w:pPr>
        <w:pStyle w:val="ListBullet"/>
      </w:pPr>
      <w:r>
        <w:t>Transferpreisdokumentation: Vollständigkeit Masterfile/CbCR, Verrechnungspreisrisiken</w:t>
      </w:r>
    </w:p>
    <w:p>
      <w:pPr>
        <w:pStyle w:val="ListBullet"/>
      </w:pPr>
      <w:r>
        <w:t>US-Tax: Check-the-Box-Klassifizierung US Inc.; potenzielle GILTI-Problematik</w:t>
      </w:r>
    </w:p>
    <w:p>
      <w:pPr>
        <w:pStyle w:val="ListBullet"/>
      </w:pPr>
      <w:r>
        <w:t>Umsatzsteuer: Organschaft bestehend? Auswirkungen auf Carve-out?</w:t>
      </w:r>
    </w:p>
    <w:p>
      <w:pPr>
        <w:pStyle w:val="ListBullet"/>
      </w:pPr>
      <w:r>
        <w:t>Freistellungsklausel SPA: Welche Steuerrisiken müssen freigestellt werden?</w:t>
      </w:r>
    </w:p>
    <w:p>
      <w:pPr>
        <w:jc w:val="left"/>
      </w:pPr>
      <w:r>
        <w:rPr>
          <w:b/>
        </w:rPr>
        <w:t>Team:</w:t>
      </w:r>
      <w:r>
        <w:t xml:space="preserve"> Dr. Sabine Roth (Lead), US-Tax-Berater (Baker &amp; Wilson LLP New York)</w:t>
      </w:r>
    </w:p>
    <w:p>
      <w:pPr>
        <w:pStyle w:val="Heading3"/>
      </w:pPr>
      <w:r>
        <w:rPr>
          <w:rFonts w:ascii="Times New Roman" w:hAnsi="Times New Roman"/>
        </w:rPr>
        <w:t>4.7 Litigation / Streitigkeiten</w:t>
      </w:r>
    </w:p>
    <w:p>
      <w:pPr>
        <w:jc w:val="left"/>
      </w:pPr>
      <w:r>
        <w:rPr>
          <w:b/>
        </w:rPr>
        <w:t>Prüfungsschwerpunkte:</w:t>
      </w:r>
    </w:p>
    <w:p>
      <w:pPr>
        <w:pStyle w:val="ListBullet"/>
      </w:pPr>
      <w:r>
        <w:t>Alle schwebenden oder drohenden Rechtsstreitigkeiten &gt; EUR 100.000</w:t>
      </w:r>
    </w:p>
    <w:p>
      <w:pPr>
        <w:pStyle w:val="ListBullet"/>
      </w:pPr>
      <w:r>
        <w:t>Behördenverfahren, Kartelluntersuchungen</w:t>
      </w:r>
    </w:p>
    <w:p>
      <w:pPr>
        <w:pStyle w:val="ListBullet"/>
      </w:pPr>
      <w:r>
        <w:t>Produkthaftungsansprüche / Rückrufaktionen</w:t>
      </w:r>
    </w:p>
    <w:p>
      <w:pPr>
        <w:pStyle w:val="ListBullet"/>
      </w:pPr>
      <w:r>
        <w:t>Garantieansprüche Dritter</w:t>
      </w:r>
    </w:p>
    <w:p>
      <w:pPr>
        <w:jc w:val="left"/>
      </w:pPr>
      <w:r>
        <w:rPr>
          <w:b/>
        </w:rPr>
        <w:t>Team:</w:t>
      </w:r>
      <w:r>
        <w:t xml:space="preserve"> Tim Berger (Lead)</w:t>
      </w:r>
    </w:p>
    <w:p/>
    <w:p>
      <w:pPr>
        <w:pStyle w:val="Heading2"/>
      </w:pPr>
      <w:r>
        <w:rPr>
          <w:rFonts w:ascii="Times New Roman" w:hAnsi="Times New Roman"/>
        </w:rPr>
        <w:t>5. Berichterstattung</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Bericht</w:t>
            </w:r>
          </w:p>
        </w:tc>
        <w:tc>
          <w:tcPr>
            <w:tcW w:type="dxa" w:w="2268"/>
          </w:tcPr>
          <w:p>
            <w:r>
              <w:rPr>
                <w:rFonts w:ascii="Times New Roman" w:hAnsi="Times New Roman"/>
                <w:b/>
                <w:sz w:val="20"/>
              </w:rPr>
              <w:t>Format</w:t>
            </w:r>
          </w:p>
        </w:tc>
        <w:tc>
          <w:tcPr>
            <w:tcW w:type="dxa" w:w="2268"/>
          </w:tcPr>
          <w:p>
            <w:r>
              <w:rPr>
                <w:rFonts w:ascii="Times New Roman" w:hAnsi="Times New Roman"/>
                <w:b/>
                <w:sz w:val="20"/>
              </w:rPr>
              <w:t>Empfänger</w:t>
            </w:r>
          </w:p>
        </w:tc>
        <w:tc>
          <w:tcPr>
            <w:tcW w:type="dxa" w:w="2268"/>
          </w:tcPr>
          <w:p>
            <w:r>
              <w:rPr>
                <w:rFonts w:ascii="Times New Roman" w:hAnsi="Times New Roman"/>
                <w:b/>
                <w:sz w:val="20"/>
              </w:rPr>
              <w:t>Frist</w:t>
            </w:r>
          </w:p>
        </w:tc>
      </w:tr>
      <w:tr>
        <w:tc>
          <w:tcPr>
            <w:tcW w:type="dxa" w:w="2268"/>
          </w:tcPr>
          <w:p>
            <w:r>
              <w:rPr>
                <w:rFonts w:ascii="Times New Roman" w:hAnsi="Times New Roman"/>
                <w:sz w:val="20"/>
              </w:rPr>
              <w:t>Red Flag Summary (laufend)</w:t>
            </w:r>
          </w:p>
        </w:tc>
        <w:tc>
          <w:tcPr>
            <w:tcW w:type="dxa" w:w="2268"/>
          </w:tcPr>
          <w:p>
            <w:r>
              <w:rPr>
                <w:rFonts w:ascii="Times New Roman" w:hAnsi="Times New Roman"/>
                <w:sz w:val="20"/>
              </w:rPr>
              <w:t>E-Mail / Kurzmemo</w:t>
            </w:r>
          </w:p>
        </w:tc>
        <w:tc>
          <w:tcPr>
            <w:tcW w:type="dxa" w:w="2268"/>
          </w:tcPr>
          <w:p>
            <w:r>
              <w:rPr>
                <w:rFonts w:ascii="Times New Roman" w:hAnsi="Times New Roman"/>
                <w:sz w:val="20"/>
              </w:rPr>
              <w:t>ECP (Felix Brandl)</w:t>
            </w:r>
          </w:p>
        </w:tc>
        <w:tc>
          <w:tcPr>
            <w:tcW w:type="dxa" w:w="2268"/>
          </w:tcPr>
          <w:p>
            <w:r>
              <w:rPr>
                <w:rFonts w:ascii="Times New Roman" w:hAnsi="Times New Roman"/>
                <w:sz w:val="20"/>
              </w:rPr>
              <w:t>Innerhalb 24h nach Fund</w:t>
            </w:r>
          </w:p>
        </w:tc>
      </w:tr>
      <w:tr>
        <w:tc>
          <w:tcPr>
            <w:tcW w:type="dxa" w:w="2268"/>
          </w:tcPr>
          <w:p>
            <w:r>
              <w:rPr>
                <w:rFonts w:ascii="Times New Roman" w:hAnsi="Times New Roman"/>
                <w:sz w:val="20"/>
              </w:rPr>
              <w:t>Interim DD Report</w:t>
            </w:r>
          </w:p>
        </w:tc>
        <w:tc>
          <w:tcPr>
            <w:tcW w:type="dxa" w:w="2268"/>
          </w:tcPr>
          <w:p>
            <w:r>
              <w:rPr>
                <w:rFonts w:ascii="Times New Roman" w:hAnsi="Times New Roman"/>
                <w:sz w:val="20"/>
              </w:rPr>
              <w:t>DOCX</w:t>
            </w:r>
          </w:p>
        </w:tc>
        <w:tc>
          <w:tcPr>
            <w:tcW w:type="dxa" w:w="2268"/>
          </w:tcPr>
          <w:p>
            <w:r>
              <w:rPr>
                <w:rFonts w:ascii="Times New Roman" w:hAnsi="Times New Roman"/>
                <w:sz w:val="20"/>
              </w:rPr>
              <w:t>ECP + Finanzberater</w:t>
            </w:r>
          </w:p>
        </w:tc>
        <w:tc>
          <w:tcPr>
            <w:tcW w:type="dxa" w:w="2268"/>
          </w:tcPr>
          <w:p>
            <w:r>
              <w:rPr>
                <w:rFonts w:ascii="Times New Roman" w:hAnsi="Times New Roman"/>
                <w:sz w:val="20"/>
              </w:rPr>
              <w:t>20. Dezember 2024</w:t>
            </w:r>
          </w:p>
        </w:tc>
      </w:tr>
      <w:tr>
        <w:tc>
          <w:tcPr>
            <w:tcW w:type="dxa" w:w="2268"/>
          </w:tcPr>
          <w:p>
            <w:r>
              <w:rPr>
                <w:rFonts w:ascii="Times New Roman" w:hAnsi="Times New Roman"/>
                <w:sz w:val="20"/>
              </w:rPr>
              <w:t>Finaler DD Report</w:t>
            </w:r>
          </w:p>
        </w:tc>
        <w:tc>
          <w:tcPr>
            <w:tcW w:type="dxa" w:w="2268"/>
          </w:tcPr>
          <w:p>
            <w:r>
              <w:rPr>
                <w:rFonts w:ascii="Times New Roman" w:hAnsi="Times New Roman"/>
                <w:sz w:val="20"/>
              </w:rPr>
              <w:t>DOCX + Präsentation</w:t>
            </w:r>
          </w:p>
        </w:tc>
        <w:tc>
          <w:tcPr>
            <w:tcW w:type="dxa" w:w="2268"/>
          </w:tcPr>
          <w:p>
            <w:r>
              <w:rPr>
                <w:rFonts w:ascii="Times New Roman" w:hAnsi="Times New Roman"/>
                <w:sz w:val="20"/>
              </w:rPr>
              <w:t>ECP + Finanzberater</w:t>
            </w:r>
          </w:p>
        </w:tc>
        <w:tc>
          <w:tcPr>
            <w:tcW w:type="dxa" w:w="2268"/>
          </w:tcPr>
          <w:p>
            <w:r>
              <w:rPr>
                <w:rFonts w:ascii="Times New Roman" w:hAnsi="Times New Roman"/>
                <w:sz w:val="20"/>
              </w:rPr>
              <w:t>10. Januar 2025</w:t>
            </w:r>
          </w:p>
        </w:tc>
      </w:tr>
      <w:tr>
        <w:tc>
          <w:tcPr>
            <w:tcW w:type="dxa" w:w="2268"/>
          </w:tcPr>
          <w:p>
            <w:r>
              <w:rPr>
                <w:rFonts w:ascii="Times New Roman" w:hAnsi="Times New Roman"/>
                <w:sz w:val="20"/>
              </w:rPr>
              <w:t>Tax DD Memo</w:t>
            </w:r>
          </w:p>
        </w:tc>
        <w:tc>
          <w:tcPr>
            <w:tcW w:type="dxa" w:w="2268"/>
          </w:tcPr>
          <w:p>
            <w:r>
              <w:rPr>
                <w:rFonts w:ascii="Times New Roman" w:hAnsi="Times New Roman"/>
                <w:sz w:val="20"/>
              </w:rPr>
              <w:t>DOCX</w:t>
            </w:r>
          </w:p>
        </w:tc>
        <w:tc>
          <w:tcPr>
            <w:tcW w:type="dxa" w:w="2268"/>
          </w:tcPr>
          <w:p>
            <w:r>
              <w:rPr>
                <w:rFonts w:ascii="Times New Roman" w:hAnsi="Times New Roman"/>
                <w:sz w:val="20"/>
              </w:rPr>
              <w:t>ECP + Tax Advisor ECP</w:t>
            </w:r>
          </w:p>
        </w:tc>
        <w:tc>
          <w:tcPr>
            <w:tcW w:type="dxa" w:w="2268"/>
          </w:tcPr>
          <w:p>
            <w:r>
              <w:rPr>
                <w:rFonts w:ascii="Times New Roman" w:hAnsi="Times New Roman"/>
                <w:sz w:val="20"/>
              </w:rPr>
              <w:t>13. Januar 2025</w:t>
            </w:r>
          </w:p>
        </w:tc>
      </w:tr>
    </w:tbl>
    <w:p/>
    <w:p>
      <w:pPr>
        <w:pStyle w:val="Heading2"/>
      </w:pPr>
      <w:r>
        <w:rPr>
          <w:rFonts w:ascii="Times New Roman" w:hAnsi="Times New Roman"/>
        </w:rPr>
        <w:t>6. Abstimmungsprozess mit ECP</w:t>
      </w:r>
    </w:p>
    <w:p>
      <w:pPr>
        <w:pStyle w:val="ListBullet"/>
      </w:pPr>
      <w:r>
        <w:t>Wöchentlicher Status-Call: Montags 09:00–09:30 Uhr (Teams)</w:t>
      </w:r>
    </w:p>
    <w:p>
      <w:pPr>
        <w:pStyle w:val="ListBullet"/>
      </w:pPr>
      <w:r>
        <w:t>Eskalationsweg: Dr. Weidemann → Felix Brandl (ECP); bei Closing-Blockern sofortige Kontaktaufnahme</w:t>
      </w:r>
    </w:p>
    <w:p>
      <w:pPr>
        <w:pStyle w:val="ListBullet"/>
      </w:pPr>
      <w:r>
        <w:t>SPA-Implikationen: DD-Team liefert für jeden Red Flag eine standardisierte SPA-Impact-Karte (Garantievorschlag oder Freistellungsempfehlung)</w:t>
      </w:r>
    </w:p>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Eagle Capital Partners GmbH &amp; Co. KG</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11555F"/>
        <w:sz w:val="24"/>
      </w:rPr>
      <w:t>Eagle Capital Partners GmbH &amp; Co. KG</w:t>
    </w:r>
  </w:p>
  <w:p>
    <w:pPr>
      <w:jc w:val="left"/>
      <w:pBdr>
        <w:bottom w:val="single" w:sz="6" w:space="2" w:color="11555F"/>
      </w:pBdr>
    </w:pPr>
    <w:r>
      <w:rPr>
        <w:rFonts w:ascii="Times New Roman" w:hAnsi="Times New Roman"/>
        <w:color w:val="6B6B66"/>
        <w:sz w:val="16"/>
      </w:rPr>
      <w:t>Managing Director) · Aktenzeichen: MWK/2024/SIL-001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