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StaRUG-Schattenfall Memo — Delta Service GmbH</w:t>
      </w:r>
    </w:p>
    <w:p>
      <w:pPr>
        <w:jc w:val="left"/>
      </w:pPr>
      <w:r>
        <w:rPr>
          <w:b/>
        </w:rPr>
        <w:t>Aktenzeichen:</w:t>
      </w:r>
      <w:r>
        <w:t xml:space="preserve"> MA-2026-SF-001-R</w:t>
      </w:r>
    </w:p>
    <w:p>
      <w:pPr>
        <w:jc w:val="left"/>
      </w:pPr>
      <w:r>
        <w:rPr>
          <w:b/>
        </w:rPr>
        <w:t>Erstellt:</w:t>
      </w:r>
      <w:r>
        <w:t xml:space="preserve"> 16.05.2026</w:t>
      </w:r>
    </w:p>
    <w:p>
      <w:pPr>
        <w:jc w:val="left"/>
      </w:pPr>
      <w:r>
        <w:rPr>
          <w:b/>
        </w:rPr>
        <w:t>Verfasser:</w:t>
      </w:r>
      <w:r>
        <w:t xml:space="preserve"> Counsel D (Restrukturierung)</w:t>
      </w:r>
    </w:p>
    <w:p>
      <w:pPr>
        <w:jc w:val="left"/>
      </w:pPr>
      <w:r>
        <w:rPr>
          <w:b/>
        </w:rPr>
        <w:t>Adressat:</w:t>
      </w:r>
      <w:r>
        <w:t xml:space="preserve"> Deal Team / Eagle Capital Partners — Vertraulich</w:t>
      </w:r>
    </w:p>
    <w:p>
      <w:pPr>
        <w:jc w:val="left"/>
      </w:pPr>
      <w:r>
        <w:rPr>
          <w:b/>
        </w:rPr>
        <w:t>Kontext:</w:t>
      </w:r>
      <w:r>
        <w:t xml:space="preserve"> Delta Service GmbH ist 100%-Tochter der Solaris Industries AG und Teil der Akquisition</w:t>
      </w:r>
    </w:p>
    <w:p/>
    <w:p>
      <w:pPr>
        <w:pStyle w:val="Heading2"/>
      </w:pPr>
      <w:r>
        <w:rPr>
          <w:rFonts w:ascii="Times New Roman" w:hAnsi="Times New Roman"/>
        </w:rPr>
        <w:t>1. Hintergrund</w:t>
      </w:r>
    </w:p>
    <w:p>
      <w:pPr>
        <w:jc w:val="left"/>
      </w:pPr>
      <w:r>
        <w:t>Im Rahmen der Legal Due Diligence wurde festgestellt, dass die Delta Service GmbH (Sitz: Essen, HRB 78234 AG Essen) — eine 100%-Tochter der Solaris Industries AG — einen Liquiditätsengpass in ca. 9 Monaten prognostiziert. Der CFO der Delta Service GmbH hat gegenüber dem Verkäuferteam in der Q&amp;A-Runde (Frage-ID QA-034) angegeben, die freie Betriebsmittellinie könne "wahrscheinlich" gezogen werden, setze aber ein aktualisiertes Covenant Certificate voraus.</w:t>
      </w:r>
    </w:p>
    <w:p>
      <w:pPr>
        <w:jc w:val="left"/>
      </w:pPr>
      <w:r>
        <w:t>Dieses Memo bewertet, ob die Voraussetzungen für ein StaRUG-Stabilisierungsverfahren vorliegen könnten, und zeigt Planoptionen auf.</w:t>
      </w:r>
    </w:p>
    <w:p/>
    <w:p>
      <w:pPr>
        <w:pStyle w:val="Heading2"/>
      </w:pPr>
      <w:r>
        <w:rPr>
          <w:rFonts w:ascii="Times New Roman" w:hAnsi="Times New Roman"/>
        </w:rPr>
        <w:t>2. StaRUG — Kurze Grundlagen</w:t>
      </w:r>
    </w:p>
    <w:p>
      <w:pPr>
        <w:jc w:val="left"/>
      </w:pPr>
      <w:r>
        <w:t xml:space="preserve">Das Gesetz über den Stabilisierungs- und Restrukturierungsrahmen für Unternehmen (StaRUG, BGBl. I 2020 S. 3256) ermöglicht die gerichtlich unterstützte Sanierung eines Schuldners </w:t>
      </w:r>
      <w:r>
        <w:rPr>
          <w:b/>
        </w:rPr>
        <w:t>ohne förmliches Insolvenzverfahren</w:t>
      </w:r>
      <w:r>
        <w:t>. Voraussetzungen: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Zugang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Drohende Zahlungsunfähigkeit (§ 18 InsO) innerhalb von 24 Monaten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Ausschluss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Zahlungsunfähigkeit oder Überschuldung bereits eingetreten → InsO, nicht StaRUG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Kern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Restrukturierungsplan mit Mehrheitsentscheidung der Gläubiger (§§ 2, 17 StaRUG)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Gerichtliche Beteiligung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Modular: Planbestätigung, Stabilisierungsanordnung (Vollstreckungsmoratorium), Vorprüfung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Öffentlichkeit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Optional; Restrukturierungssache kann nichtöffentlich bleiben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Tatbestandsanalyse Delta Service GmbH</w:t>
      </w:r>
    </w:p>
    <w:p>
      <w:pPr>
        <w:pStyle w:val="Heading3"/>
      </w:pPr>
      <w:r>
        <w:rPr>
          <w:rFonts w:ascii="Times New Roman" w:hAnsi="Times New Roman"/>
        </w:rPr>
        <w:t>3.1 Drohende Zahlungsunfähigkeit (§ 18 InsO)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Indikator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Liquiditätsengpass in 9 Monaten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lt. CFO-Aussage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QA-034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Covenant Certificate ausstehend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Kreditlinie blockiert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DD-Bericht Rn. 84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Drei Lieferanten drohen Lieferstopp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DD-Bericht Rn. 91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Großkunde bestreitet EUR 180.000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DD-Bericht Rn. 96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Rangrücktritt GGD nur als 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Disclosure Schedule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Fortbestehensprognose nicht beschlossen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kritisch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Geschäftsführung</w:t>
            </w:r>
          </w:p>
        </w:tc>
      </w:tr>
    </w:tbl>
    <w:p>
      <w:pPr>
        <w:jc w:val="left"/>
      </w:pPr>
      <w:r>
        <w:rPr>
          <w:b/>
        </w:rPr>
        <w:t>Einschätzung:</w:t>
      </w:r>
      <w:r>
        <w:t xml:space="preserve"> Die Indikatoren deuten auf eine </w:t>
      </w:r>
      <w:r>
        <w:rPr>
          <w:b/>
        </w:rPr>
        <w:t>drohende Zahlungsunfähigkeit</w:t>
      </w:r>
      <w:r>
        <w:t xml:space="preserve"> innerhalb von 12–18 Monaten hin. Die Schwelle des § 18 InsO ist mit hoher Wahrscheinlichkeit bereits überschritten. Eine Zahlungsunfähigkeit (§ 17 InsO) ist noch nicht eingetreten, kann aber durch Lieferstopps und Kreditlinienblockade binnen 4–6 Wochen entstehen.</w:t>
      </w:r>
    </w:p>
    <w:p>
      <w:pPr>
        <w:pStyle w:val="Heading3"/>
      </w:pPr>
      <w:r>
        <w:rPr>
          <w:rFonts w:ascii="Times New Roman" w:hAnsi="Times New Roman"/>
        </w:rPr>
        <w:t>3.2 Ausschluss von Überschuldung (§ 19 InsO)</w:t>
      </w:r>
    </w:p>
    <w:p>
      <w:pPr>
        <w:jc w:val="left"/>
      </w:pPr>
      <w:r>
        <w:t xml:space="preserve">Buchwert Eigenkapital Delta Service GmbH: EUR 2,4 Mio. (lt. Jahresabschluss 2024). Fortbestehensprognose nicht formal erstellt. </w:t>
      </w:r>
      <w:r>
        <w:rPr>
          <w:b/>
        </w:rPr>
        <w:t>Risiko:</w:t>
      </w:r>
      <w:r>
        <w:t xml:space="preserve"> Ohne positive Fortbestehensprognose könnte § 19 InsO (Überschuldung) greifen — dann ist InsO vorrangig, StaRUG nicht mehr zugänglich.</w:t>
      </w:r>
    </w:p>
    <w:p>
      <w:pPr>
        <w:jc w:val="left"/>
      </w:pPr>
      <w:r>
        <w:rPr>
          <w:b/>
        </w:rPr>
        <w:t>Empfehlung:</w:t>
      </w:r>
      <w:r>
        <w:t xml:space="preserve"> Unverzügliche Erstellung einer 24-Monats-Fortbestehensprognose durch Geschäftsführung der Delta Service GmbH. Ohne diese kann die Insolvenzverschleppungshaftung der Geschäftsführer entstehen.</w:t>
      </w:r>
    </w:p>
    <w:p/>
    <w:p>
      <w:pPr>
        <w:pStyle w:val="Heading2"/>
      </w:pPr>
      <w:r>
        <w:rPr>
          <w:rFonts w:ascii="Times New Roman" w:hAnsi="Times New Roman"/>
        </w:rPr>
        <w:t>4. Restrukturierungsoptionen</w:t>
      </w:r>
    </w:p>
    <w:p>
      <w:pPr>
        <w:pStyle w:val="Heading3"/>
      </w:pPr>
      <w:r>
        <w:rPr>
          <w:rFonts w:ascii="Times New Roman" w:hAnsi="Times New Roman"/>
        </w:rPr>
        <w:t>Option A: StaRUG-Stabilisierungsrahmen (bevorzugt)</w:t>
      </w:r>
    </w:p>
    <w:p>
      <w:pPr>
        <w:jc w:val="left"/>
      </w:pPr>
      <w:r>
        <w:rPr>
          <w:b/>
        </w:rPr>
        <w:t>Voraussetzungen:</w:t>
      </w:r>
      <w:r>
        <w:t xml:space="preserve"> Drohende (nicht eingetretene) Zahlungsunfähigkeit, Mehrheitsgläubiger für Planabstimmung gewinnbar.</w:t>
      </w:r>
    </w:p>
    <w:p>
      <w:pPr>
        <w:jc w:val="left"/>
      </w:pPr>
      <w:r>
        <w:rPr>
          <w:b/>
        </w:rPr>
        <w:t>Ablauf:</w:t>
      </w:r>
    </w:p>
    <w:p>
      <w:pPr>
        <w:pStyle w:val="ListNumber"/>
      </w:pPr>
      <w:r>
        <w:t>Restrukturierungsbeauftragter bestellt (intern oder extern)</w:t>
      </w:r>
    </w:p>
    <w:p>
      <w:pPr>
        <w:pStyle w:val="ListNumber"/>
      </w:pPr>
      <w:r>
        <w:t>Restrukturierungsplan erstellt (§§ 2–13 StaRUG)</w:t>
      </w:r>
    </w:p>
    <w:p>
      <w:pPr>
        <w:pStyle w:val="ListNumber"/>
      </w:pPr>
      <w:r>
        <w:t>Anzeige beim Restrukturierungsgericht (AG Essen)</w:t>
      </w:r>
    </w:p>
    <w:p>
      <w:pPr>
        <w:pStyle w:val="ListNumber"/>
      </w:pPr>
      <w:r>
        <w:t>Ggf. Stabilisierungsanordnung (Vollstreckungsmoratorium 3 Monate, verlängerbar)</w:t>
      </w:r>
    </w:p>
    <w:p>
      <w:pPr>
        <w:pStyle w:val="ListNumber"/>
      </w:pPr>
      <w:r>
        <w:t>Planabstimmung: qualifizierte Mehrheit (75 %) in jeder betroffenen Gruppe</w:t>
      </w:r>
    </w:p>
    <w:p>
      <w:pPr>
        <w:pStyle w:val="ListNumber"/>
      </w:pPr>
      <w:r>
        <w:t>Planbestätigung durch Gericht</w:t>
      </w:r>
    </w:p>
    <w:p>
      <w:pPr>
        <w:jc w:val="left"/>
      </w:pPr>
      <w:r>
        <w:rPr>
          <w:b/>
        </w:rPr>
        <w:t>Vorteile:</w:t>
      </w:r>
      <w:r>
        <w:t xml:space="preserve"> Kein öffentliches Insolvenzverfahren; kein Reputationsschaden; Vertragsbeziehungen bleiben; Kunden/Lieferanten werden nicht automatisch informiert.</w:t>
      </w:r>
    </w:p>
    <w:p>
      <w:pPr>
        <w:jc w:val="left"/>
      </w:pPr>
      <w:r>
        <w:rPr>
          <w:b/>
        </w:rPr>
        <w:t>Risiken:</w:t>
      </w:r>
      <w:r>
        <w:t xml:space="preserve"> Wenige Gläubiger (Hausbank DKB AG) können ggf. blockieren, wenn Minderheitenschutz nach § 26 StaRUG nicht gewährleistet.</w:t>
      </w:r>
    </w:p>
    <w:p>
      <w:pPr>
        <w:pStyle w:val="Heading3"/>
      </w:pPr>
      <w:r>
        <w:rPr>
          <w:rFonts w:ascii="Times New Roman" w:hAnsi="Times New Roman"/>
        </w:rPr>
        <w:t>Option B: Insolvenzplanverfahren (§§ 217 ff. InsO)</w:t>
      </w:r>
    </w:p>
    <w:p>
      <w:pPr>
        <w:jc w:val="left"/>
      </w:pPr>
      <w:r>
        <w:t>Nur wenn Zahlungsunfähigkeit bereits eingetreten oder StaRUG nicht erfolgreich. Deutlich aufwändiger, öffentlich, Reputationsrisiko erheblich. Im M&amp;A-Kontext problematisch: Change-of-Control-Klauseln in Schlüsselverträgen würden durch Insolvenzverfahren ausgelöst.</w:t>
      </w:r>
    </w:p>
    <w:p>
      <w:pPr>
        <w:pStyle w:val="Heading3"/>
      </w:pPr>
      <w:r>
        <w:rPr>
          <w:rFonts w:ascii="Times New Roman" w:hAnsi="Times New Roman"/>
        </w:rPr>
        <w:t>Option C: Carve-out vor Closing / Asset-Deal</w:t>
      </w:r>
    </w:p>
    <w:p>
      <w:pPr>
        <w:jc w:val="left"/>
      </w:pPr>
      <w:r>
        <w:t>Falls Delta Service GmbH keine Sanierungsperspektive hat: Herauslösung aus dem Akquisitionsobjekt vor Closing. Eagle erwirbt nur die profitablen Teile (Solaris Industries AG excl. Delta). Kaufpreisanpassung entsprechend. Technisch kompliziert (SPA-Änderung notwendig).</w:t>
      </w:r>
    </w:p>
    <w:p/>
    <w:p>
      <w:pPr>
        <w:pStyle w:val="Heading2"/>
      </w:pPr>
      <w:r>
        <w:rPr>
          <w:rFonts w:ascii="Times New Roman" w:hAnsi="Times New Roman"/>
        </w:rPr>
        <w:t>5. Auswirkungen auf die Transaktion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MAC-Klausel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Drohende Insolvenz einer 100%-Tochter kann MAC auslösen (§ 11.3 SPA)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Closing-CP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CP-13 (Rangrücktritt GGD) direkt betroffen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W&amp;I-Versicherung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Underwriter muss über Delta-Risiko informiert werden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PMI-Plan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Delta Service GmbH als separate Restrukturierungstrack einzuplanen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Kaufpreis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Ggf. Kaufpreisminderung oder Escrow-Erhöhung für Delta-Risiko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Sofortige Handlungsempfehlungen</w:t>
      </w:r>
    </w:p>
    <w:p>
      <w:pPr>
        <w:pStyle w:val="ListNumber"/>
      </w:pPr>
      <w:r>
        <w:rPr>
          <w:b/>
        </w:rPr>
        <w:t>Fortbestehensprognose</w:t>
      </w:r>
      <w:r>
        <w:t xml:space="preserve"> Delta Service GmbH bis 01.06.2026 beauftragen (Wirtschaftsprüfer)</w:t>
      </w:r>
    </w:p>
    <w:p>
      <w:pPr>
        <w:pStyle w:val="ListNumber"/>
      </w:pPr>
      <w:r>
        <w:rPr>
          <w:b/>
        </w:rPr>
        <w:t>Covenant Certificate</w:t>
      </w:r>
      <w:r>
        <w:t xml:space="preserve"> mit DKB AG klären — Kreditlinie freischalten</w:t>
      </w:r>
    </w:p>
    <w:p>
      <w:pPr>
        <w:pStyle w:val="ListNumber"/>
      </w:pPr>
      <w:r>
        <w:rPr>
          <w:b/>
        </w:rPr>
        <w:t>Rangrücktritt</w:t>
      </w:r>
      <w:r>
        <w:t xml:space="preserve"> Gesellschafterdarlehen finalisieren und unterzeichnen (CP-13)</w:t>
      </w:r>
    </w:p>
    <w:p>
      <w:pPr>
        <w:pStyle w:val="ListNumber"/>
      </w:pPr>
      <w:r>
        <w:rPr>
          <w:b/>
        </w:rPr>
        <w:t>Lieferstopp-Drohungen</w:t>
      </w:r>
      <w:r>
        <w:t xml:space="preserve"> adressieren: Verhandlung mit Top-3-Lieferanten</w:t>
      </w:r>
    </w:p>
    <w:p>
      <w:pPr>
        <w:pStyle w:val="ListNumber"/>
      </w:pPr>
      <w:r>
        <w:rPr>
          <w:b/>
        </w:rPr>
        <w:t>StaRUG-Berater</w:t>
      </w:r>
      <w:r>
        <w:t xml:space="preserve"> benennen (für Fall, dass StaRUG-Option gezogen werden muss)</w:t>
      </w:r>
    </w:p>
    <w:p>
      <w:pPr>
        <w:pStyle w:val="ListNumber"/>
      </w:pPr>
      <w:r>
        <w:rPr>
          <w:b/>
        </w:rPr>
        <w:t>Deal Team informieren</w:t>
      </w:r>
      <w:r>
        <w:t>: Delta-Risiko in Board Paper und W&amp;I-Underwriting-Pack aufnehmen</w:t>
      </w:r>
    </w:p>
    <w:p/>
    <w:p>
      <w:pPr>
        <w:jc w:val="left"/>
      </w:pPr>
      <w:r>
        <w:rPr>
          <w:i/>
        </w:rPr>
        <w:t>Aktenvermerk-Nr.: AV-STAR-2026-001 | Privileged &amp; Confidential — Attorney-Client Communication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Delta Service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Delta Service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 · Aktenzeichen: MA-2026-SF-001-R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