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Projekt Waldkrone -- Timeline und Struktur</w:t>
      </w:r>
    </w:p>
    <w:p>
      <w:pPr>
        <w:pStyle w:val="Heading2"/>
      </w:pPr>
      <w:r>
        <w:rPr>
          <w:rFonts w:ascii="Times New Roman" w:hAnsi="Times New Roman"/>
        </w:rPr>
        <w:t>Beteiligte 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Gesellschaft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Sitz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HRB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Geschäftsführung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Hinweis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Käuferin (oberste Ebene)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Silver Harbour Capital plc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Dublin, IE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David Ó Conchobhair (CEO), Sarah Killeen (CFO)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börsennotierte irische Holding (Euronext Dublin), ISIN IE00BXY1234V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Erwerbsvehikel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SHC Germany HoldCo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Frankfurt am Main, 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HRB 124889 AG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Sarah Killeen, Lukas Vandermolen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neu gegründet 18.11.2025, 100 % Silver Harbour, Stammkapital 25.000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Verkäuferin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Nordtor Beteiligungen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Hamburg, 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HRB 187452 AG Hamburg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Christian Tewes-Mau, Britta Senne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bisherige Alleingesellschafterin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Zielgesellschaft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Waldkrone Logistik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Potsdam, 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HRB 39001 AG Potsdam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Britta Senne (übernommen ab Closing: Lukas Vandermolen)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hält deutschen Grundbesitz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Tochter Ziel (1)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Waldkrone Property Brandenburg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Potsdam, 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HRB 39112 AG Potsdam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Britta Senne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hält Logistikzentrum Haveltor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Tochter Ziel (2)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Waldkrone Property West GmbH &amp; Co. 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Essen, 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HRA 14233 AG Essen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Komplementär Waldkrone Property West Verwaltungs-GmbH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hält Lagerpark Ruhrbogen (Erbbaurecht Teilfläche)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Beteiligungsstand vor Signing (12.12.2025)</w:t>
      </w:r>
    </w:p>
    <w:p>
      <w:pPr>
        <w:jc w:val="left"/>
      </w:pPr>
      <w:r>
        <w:t>```</w:t>
      </w:r>
    </w:p>
    <w:p>
      <w:pPr>
        <w:jc w:val="left"/>
      </w:pPr>
      <w:r>
        <w:t>Silver Harbour Capital plc (Dublin)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SHC Germany HoldCo GmbH (Frankfurt) -- gegründet 18.11.2025, hält keine Beteiligung</w:t>
      </w:r>
    </w:p>
    <w:p>
      <w:pPr>
        <w:jc w:val="left"/>
      </w:pPr>
      <w:r>
        <w:t>und keinen Grundbesitz</w:t>
      </w:r>
    </w:p>
    <w:p>
      <w:pPr>
        <w:jc w:val="left"/>
      </w:pPr>
      <w:r>
        <w:t>Nordtor Beteiligungen GmbH (Hamburg)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Waldkrone Logistik GmbH (Potsdam)</w:t>
      </w:r>
    </w:p>
    <w:p>
      <w:pPr>
        <w:jc w:val="left"/>
      </w:pPr>
      <w:r>
        <w:t>+-- 100 % Waldkrone Property Brandenburg GmbH (Potsdam)</w:t>
      </w:r>
    </w:p>
    <w:p>
      <w:pPr>
        <w:jc w:val="left"/>
      </w:pPr>
      <w:r>
        <w:t>+-- 100 % Waldkrone Property West GmbH &amp; Co. KG (Essen)</w:t>
      </w:r>
    </w:p>
    <w:p>
      <w:pPr>
        <w:jc w:val="left"/>
      </w:pPr>
      <w:r>
        <w:t>+-- (direkt) Umschlaghalle Mainbogen, Frankfurt am Main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Beteiligungsstand nach Closing (30.04.2026)</w:t>
      </w:r>
    </w:p>
    <w:p>
      <w:pPr>
        <w:jc w:val="left"/>
      </w:pPr>
      <w:r>
        <w:t>```</w:t>
      </w:r>
    </w:p>
    <w:p>
      <w:pPr>
        <w:jc w:val="left"/>
      </w:pPr>
      <w:r>
        <w:t>Silver Harbour Capital plc (Dublin)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SHC Germany HoldCo GmbH (Frankfurt)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100 % seit Closing</w:t>
            </w:r>
          </w:p>
        </w:tc>
      </w:tr>
    </w:tbl>
    <w:p>
      <w:pPr>
        <w:jc w:val="left"/>
      </w:pPr>
      <w:r>
        <w:t>v</w:t>
      </w:r>
    </w:p>
    <w:p>
      <w:pPr>
        <w:jc w:val="left"/>
      </w:pPr>
      <w:r>
        <w:t>Waldkrone Logistik GmbH (Potsdam)</w:t>
      </w:r>
    </w:p>
    <w:p>
      <w:pPr>
        <w:jc w:val="left"/>
      </w:pPr>
      <w:r>
        <w:t>+-- 100 % Waldkrone Property Brandenburg GmbH (Potsdam)</w:t>
      </w:r>
    </w:p>
    <w:p>
      <w:pPr>
        <w:jc w:val="left"/>
      </w:pPr>
      <w:r>
        <w:t>+-- 100 % Waldkrone Property West GmbH &amp; Co. KG (Essen)</w:t>
      </w:r>
    </w:p>
    <w:p>
      <w:pPr>
        <w:jc w:val="left"/>
      </w:pPr>
      <w:r>
        <w:t>+-- direkt Umschlaghalle Mainbogen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Signing (12.12.2025)</w:t>
      </w:r>
    </w:p>
    <w:p>
      <w:pPr>
        <w:pStyle w:val="ListBullet"/>
      </w:pPr>
      <w:r>
        <w:rPr>
          <w:b/>
        </w:rPr>
        <w:t>Notartermin:</w:t>
      </w:r>
      <w:r>
        <w:t xml:space="preserve"> Notar Dr. Friedjoff Wagensteiner, Frankfurt am Main, UR-Nr. 1287/2025.</w:t>
      </w:r>
    </w:p>
    <w:p>
      <w:pPr>
        <w:pStyle w:val="ListBullet"/>
      </w:pPr>
      <w:r>
        <w:rPr>
          <w:b/>
        </w:rPr>
        <w:t>Abgeschlossen:</w:t>
      </w:r>
      <w:r>
        <w:t xml:space="preserve"> Share Purchase Agreement (SPA) über 100 % der Geschäftsanteile an Waldkrone Logistik GmbH.</w:t>
      </w:r>
    </w:p>
    <w:p>
      <w:pPr>
        <w:pStyle w:val="ListBullet"/>
      </w:pPr>
      <w:r>
        <w:rPr>
          <w:b/>
        </w:rPr>
        <w:t>Vertragssprache:</w:t>
      </w:r>
      <w:r>
        <w:t xml:space="preserve"> Englisch, Rechtswahl deutsches Recht (German law, Gerichtsstand Frankfurt am Main).</w:t>
      </w:r>
    </w:p>
    <w:p>
      <w:pPr>
        <w:pStyle w:val="ListBullet"/>
      </w:pPr>
      <w:r>
        <w:rPr>
          <w:b/>
        </w:rPr>
        <w:t>Käuferin im SPA:</w:t>
      </w:r>
      <w:r>
        <w:t xml:space="preserve"> SHC Germany HoldCo GmbH (nicht Silver Harbour Capital plc).</w:t>
      </w:r>
    </w:p>
    <w:p>
      <w:pPr>
        <w:pStyle w:val="ListBullet"/>
      </w:pPr>
      <w:r>
        <w:rPr>
          <w:b/>
        </w:rPr>
        <w:t>Parent Guarantee:</w:t>
      </w:r>
      <w:r>
        <w:t xml:space="preserve"> Silver Harbour Capital plc garantiert die Verpflichtungen der Käuferin.</w:t>
      </w:r>
    </w:p>
    <w:p>
      <w:pPr>
        <w:pStyle w:val="ListBullet"/>
      </w:pPr>
      <w:r>
        <w:rPr>
          <w:b/>
        </w:rPr>
        <w:t>Verkäuferin im SPA:</w:t>
      </w:r>
      <w:r>
        <w:t xml:space="preserve"> Nordtor Beteiligungen GmbH.</w:t>
      </w:r>
    </w:p>
    <w:p>
      <w:pPr>
        <w:pStyle w:val="ListBullet"/>
      </w:pPr>
      <w:r>
        <w:rPr>
          <w:b/>
        </w:rPr>
        <w:t>Vorläufiger Kaufpreis (Locked Box):</w:t>
      </w:r>
      <w:r>
        <w:t xml:space="preserve"> EUR 87.500.000,00 (Equity Value), Effective Date 31.10.2025.</w:t>
      </w:r>
    </w:p>
    <w:p>
      <w:pPr>
        <w:pStyle w:val="ListBullet"/>
      </w:pPr>
      <w:r>
        <w:rPr>
          <w:b/>
        </w:rPr>
        <w:t>Anpassung:</w:t>
      </w:r>
      <w:r>
        <w:t xml:space="preserve"> Locked Box mit Ticking Fee von 4 % p. a. ab Effective Date.</w:t>
      </w:r>
    </w:p>
    <w:p>
      <w:pPr>
        <w:pStyle w:val="Heading3"/>
      </w:pPr>
      <w:r>
        <w:rPr>
          <w:rFonts w:ascii="Times New Roman" w:hAnsi="Times New Roman"/>
        </w:rPr>
        <w:t>Bedingungen (Closing Conditions)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Bedingung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Erfüllung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Kartellfreigabe EU / BKartA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 (BKartA 9. Beschlussabteilung)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Zustimmung finanzierender Banken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17.04.2026 (Konsortialvertrag Helaba/UniCredit/ING)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Freigabe Wechsel der Kontrolle aus Förderdarlehen Brandenburg (ILB)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wesentliche Verschlechterung der Mietverträge (MAC)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ausgelöst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30.04.2026 stabil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Q1-Mieteinnahmen mindestens 95 % des Budgets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 Bestätigung Property Manager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Closing (30.04.2026)</w:t>
      </w:r>
    </w:p>
    <w:p>
      <w:pPr>
        <w:pStyle w:val="ListBullet"/>
      </w:pPr>
      <w:r>
        <w:rPr>
          <w:b/>
        </w:rPr>
        <w:t>Closing Memorandum:</w:t>
      </w:r>
      <w:r>
        <w:t xml:space="preserve"> unterzeichnet am 30.04.2026, 11:00 Uhr, in den Räumen der Kanzlei.</w:t>
      </w:r>
    </w:p>
    <w:p>
      <w:pPr>
        <w:pStyle w:val="ListBullet"/>
      </w:pPr>
      <w:r>
        <w:rPr>
          <w:b/>
        </w:rPr>
        <w:t>Geschäftsanteile</w:t>
      </w:r>
      <w:r>
        <w:t xml:space="preserve"> dinglich übertragen durch separate Abtretungserklärung (Notar Dr. Wagensteiner, UR-Nr. 487/2026).</w:t>
      </w:r>
    </w:p>
    <w:p>
      <w:pPr>
        <w:pStyle w:val="ListBullet"/>
      </w:pPr>
      <w:r>
        <w:rPr>
          <w:b/>
        </w:rPr>
        <w:t>Kaufpreiszahlung:</w:t>
      </w:r>
      <w:r>
        <w:t xml:space="preserve"> finaler Kaufpreis EUR 89.142.500,00 (inkl. Ticking Fee von EUR 1.642.500,00) zum Closing auf Treuhandkonto der Notarin Wagensteiner; Freigabe zu Gunsten Verkäuferin am 30.04.2026 nachmittags.</w:t>
      </w:r>
    </w:p>
    <w:p>
      <w:pPr>
        <w:pStyle w:val="ListBullet"/>
      </w:pPr>
      <w:r>
        <w:rPr>
          <w:b/>
        </w:rPr>
        <w:t>Neue Gesellschafterliste</w:t>
      </w:r>
      <w:r>
        <w:t xml:space="preserve"> beim Handelsregister AG Potsdam eingereicht am 02.05.2026; Aufnahme in das HR-Bestandsverzeichnis am 05.05.2026.</w:t>
      </w:r>
    </w:p>
    <w:p>
      <w:pPr>
        <w:pStyle w:val="ListBullet"/>
      </w:pPr>
      <w:r>
        <w:rPr>
          <w:b/>
        </w:rPr>
        <w:t>Eintragungsbestätigung</w:t>
      </w:r>
      <w:r>
        <w:t xml:space="preserve"> vom 05.05.2026 liegt vor.</w:t>
      </w:r>
    </w:p>
    <w:p>
      <w:pPr>
        <w:pStyle w:val="Heading2"/>
      </w:pPr>
      <w:r>
        <w:rPr>
          <w:rFonts w:ascii="Times New Roman" w:hAnsi="Times New Roman"/>
        </w:rPr>
        <w:t>Anzeigen § 19 GrEStG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Bundesland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Belegenheits-FA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Anzeige eingereicht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Versandart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Eingangsbestätigung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Brandenburg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Finanzamt Oranienburg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Einschreiben Rückschein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12.05.2026 (Rückschein)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Finanzamt Frankfurt am Main IV (GrESt)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Einschreiben Rückschein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11.05.2026 (Rückschein)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Nordrhein-Westfalen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Finanzamt Essen-Süd (GrESt)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Einschreiben Rückschein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11.05.2026 (Rückschein)</w:t>
            </w:r>
          </w:p>
        </w:tc>
      </w:tr>
    </w:tbl>
    <w:p>
      <w:pPr>
        <w:jc w:val="left"/>
      </w:pPr>
      <w:r>
        <w:rPr>
          <w:b/>
        </w:rPr>
        <w:t>Anlagen jeder Anzeige:</w:t>
      </w:r>
      <w:r>
        <w:t xml:space="preserve"> SPA-Auszug Tax (Clauses 17.3 -- 17.6, Schedule 7 Real Estate Properties), Closing Memorandum, Gesellschafterliste alt/neu, Organigramm vor/nach Closing, Grundstücksliste mit aktuellen Grundbesitzwerten.</w:t>
      </w:r>
    </w:p>
    <w:p>
      <w:pPr>
        <w:pStyle w:val="Heading2"/>
      </w:pPr>
      <w:r>
        <w:rPr>
          <w:rFonts w:ascii="Times New Roman" w:hAnsi="Times New Roman"/>
        </w:rPr>
        <w:t>Streitpunkt</w:t>
      </w:r>
    </w:p>
    <w:p>
      <w:pPr>
        <w:jc w:val="left"/>
      </w:pPr>
      <w:r>
        <w:t>Die Finanzverwaltung deutet nach erstem Telefonat (Frau Berger, FA Oranienburg, 12.05.2026 14:15) an:</w:t>
      </w:r>
    </w:p>
    <w:p>
      <w:pPr>
        <w:pStyle w:val="ListNumber"/>
      </w:pPr>
      <w:r>
        <w:rPr>
          <w:b/>
        </w:rPr>
        <w:t>§ 1 Abs. 2b GrEStG</w:t>
      </w:r>
      <w:r>
        <w:t xml:space="preserve"> wegen Änderung im Gesellschafterbestand der grundbesitzhaltenden Kapitalgesellschaft (Waldkrone Logistik GmbH) im Zuge des Closing-Erwerbs.</w:t>
      </w:r>
    </w:p>
    <w:p>
      <w:pPr>
        <w:pStyle w:val="ListNumber"/>
      </w:pPr>
      <w:r>
        <w:rPr>
          <w:b/>
        </w:rPr>
        <w:t>Zusätzlich § 1 Abs. 3 GrEStG</w:t>
      </w:r>
      <w:r>
        <w:t xml:space="preserve"> wegen Anteilsvereinigung bei SHC Germany HoldCo (100 % Anteile in einer Hand).</w:t>
      </w:r>
    </w:p>
    <w:p>
      <w:pPr>
        <w:pStyle w:val="ListNumber"/>
      </w:pPr>
      <w:r>
        <w:rPr>
          <w:b/>
        </w:rPr>
        <w:t>Signing-Konsequenz:</w:t>
      </w:r>
      <w:r>
        <w:t xml:space="preserve"> Möglicherweise zusätzlich Anknüpfung am Signing-Tatbestand (vorbereitende Verpflichtung zur Anteilsübertragung).</w:t>
      </w:r>
    </w:p>
    <w:p>
      <w:pPr>
        <w:jc w:val="left"/>
      </w:pPr>
      <w:r>
        <w:t xml:space="preserve">Die Verteidigungslinie soll nicht bestreiten, dass eine GrESt-Belastung dem Grunde nach ausgelöst sein kann. Sie soll die </w:t>
      </w:r>
      <w:r>
        <w:rPr>
          <w:b/>
        </w:rPr>
        <w:t>zusätzliche, doppelte</w:t>
      </w:r>
      <w:r>
        <w:t xml:space="preserve"> Belastung eines einheitlichen wirtschaftlichen Erwerbsvorgangs angreifen. Das ist die Linie der jüngeren BFH-AdV-Rechtsprechung.</w:t>
      </w:r>
    </w:p>
    <w:p>
      <w:pPr>
        <w:pStyle w:val="Heading2"/>
      </w:pPr>
      <w:r>
        <w:rPr>
          <w:rFonts w:ascii="Times New Roman" w:hAnsi="Times New Roman"/>
        </w:rPr>
        <w:t>Besonderheiten Waldkrone Logistik GmbH</w:t>
      </w:r>
    </w:p>
    <w:p>
      <w:pPr>
        <w:pStyle w:val="ListBullet"/>
      </w:pPr>
      <w:r>
        <w:t>Zielgesellschaft hat zwei eigene Tochtergesellschaften (Brandenburg, West KG); Grundbesitzhaltung über mehrere Ebenen.</w:t>
      </w:r>
    </w:p>
    <w:p>
      <w:pPr>
        <w:pStyle w:val="ListBullet"/>
      </w:pPr>
      <w:r>
        <w:t>Erbbaurecht für Teilfläche Halle C am Lagerpark Ruhrbogen (separat zu prüfen).</w:t>
      </w:r>
    </w:p>
    <w:p>
      <w:pPr>
        <w:pStyle w:val="ListBullet"/>
      </w:pPr>
      <w:r>
        <w:t>Förderdarlehen ILB läuft bis 2030, change-of-control-Konditionen ggf. mit GrESt-Mitteilungspflichten.</w:t>
      </w:r>
    </w:p>
    <w:p>
      <w:pPr>
        <w:pStyle w:val="Heading2"/>
      </w:pPr>
      <w:r>
        <w:rPr>
          <w:rFonts w:ascii="Times New Roman" w:hAnsi="Times New Roman"/>
        </w:rPr>
        <w:t>Wirtschaftlicher Kaufpreis und Grundbesitzwert-Allokation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Bundesland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Grundbesitzwert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Anteil am Total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Anteil am Kaufpreis (rechnerisch)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Logistikzentrum Haveltor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33,9 %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30,2 Mio. EUR (anteilig Equity)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Umschlaghalle Mainbogen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24,1 %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21,5 Mio. EUR (anteilig Equity)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Lagerpark Ruhrbogen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NRW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42,0 %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37,4 Mio. EUR (anteilig Equity)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34.800.000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89,1 Mio. EUR (gesamt)</w:t>
            </w:r>
          </w:p>
        </w:tc>
      </w:tr>
    </w:tbl>
    <w:p>
      <w:pPr>
        <w:jc w:val="left"/>
      </w:pPr>
      <w:r>
        <w:t>Anmerkung: Die Allokation des Kaufpreises auf einzelne Objekte ist im SPA nicht förmlich erfolgt, sondern in einer separaten Locked-Box-Bewertungsdatei abgelegt. Für GrESt sind nur die Grundbesitzwerte relevant (§ 8 Abs. 2 GrEStG), nicht die Equity-Allokation; die Spalte rechts dient nur der internen Plausibilisierung.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SHC Germany HoldCo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SHC Germany HoldCo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hält keine Beteiligung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