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Kaufpreis-Allokation -- Plausibilisierungstabelle</w:t>
      </w:r>
    </w:p>
    <w:p>
      <w:pPr>
        <w:jc w:val="left"/>
      </w:pPr>
      <w:r>
        <w:rPr>
          <w:b/>
        </w:rPr>
        <w:t>Mandant:</w:t>
      </w:r>
      <w:r>
        <w:t xml:space="preserve"> Silver Harbour Capital plc / SHC Germany HoldCo GmbH</w:t>
      </w:r>
    </w:p>
    <w:p>
      <w:pPr>
        <w:jc w:val="left"/>
      </w:pPr>
      <w:r>
        <w:rPr>
          <w:b/>
        </w:rPr>
        <w:t>Mandatsnummer:</w:t>
      </w:r>
      <w:r>
        <w:t xml:space="preserve"> AKB 2025-1144 / Waldkrone</w:t>
      </w:r>
    </w:p>
    <w:p>
      <w:pPr>
        <w:jc w:val="left"/>
      </w:pPr>
      <w:r>
        <w:rPr>
          <w:b/>
        </w:rPr>
        <w:t>Datum:</w:t>
      </w:r>
      <w:r>
        <w:t xml:space="preserve"> 28.05.2026</w:t>
      </w:r>
    </w:p>
    <w:p>
      <w:pPr>
        <w:jc w:val="left"/>
      </w:pPr>
      <w:r>
        <w:rPr>
          <w:b/>
        </w:rPr>
        <w:t>Erstellt von:</w:t>
      </w:r>
      <w:r>
        <w:t xml:space="preserve"> Lukas Vandermolen (Associate Tax), Susanne Petrich (Senior Associate Tax)</w:t>
      </w:r>
    </w:p>
    <w:p>
      <w:pPr>
        <w:jc w:val="left"/>
      </w:pPr>
      <w:r>
        <w:rPr>
          <w:b/>
        </w:rPr>
        <w:t>Zweck:</w:t>
      </w:r>
      <w:r>
        <w:t xml:space="preserve"> Plausibilisierung der GrESt-Bemessungsgrundlagen je Bundesland und Verteilung des Kaufpreises auf die wirtschaftlichen Einheiten</w:t>
      </w:r>
    </w:p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 xml:space="preserve">Für die Grunderwerbsteuer ist nach § 8 Abs. 2 GrEStG bei Share-Deal-Tatbeständen (§ 1 Abs. 2a, 2b, 3, 3a GrEStG) der </w:t>
      </w:r>
      <w:r>
        <w:rPr>
          <w:b/>
        </w:rPr>
        <w:t>Grundbesitzwert</w:t>
      </w:r>
      <w:r>
        <w:t xml:space="preserve"> im Sinne der §§ 138 ff. BewG die Bemessungsgrundlage, nicht der Kaufpreis. Die unten dargestellte Verteilung des Kaufpreises auf die einzelnen Objekte dient daher </w:t>
      </w:r>
      <w:r>
        <w:rPr>
          <w:b/>
        </w:rPr>
        <w:t>nur zur betriebswirtschaftlichen Plausibilisierung</w:t>
      </w:r>
      <w:r>
        <w:t>, nicht zur unmittelbaren GrESt-Berechnung.</w:t>
      </w:r>
    </w:p>
    <w:p>
      <w:pPr>
        <w:pStyle w:val="Heading2"/>
      </w:pPr>
      <w:r>
        <w:rPr>
          <w:rFonts w:ascii="Times New Roman" w:hAnsi="Times New Roman"/>
        </w:rPr>
        <w:t>I. Kaufpreis (Equity Value laut SPA)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Kaufpreis SPA (Equity Value, Locked Box)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87.500.000,00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Ticking Fee 4 % p. a. ab 31.10.2025 bis 30.04.2026 (181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1.642.500,00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Effektiver Kaufpreis Closing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89.142.500,00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abzgl. Holdback (90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-12.500.000,00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Closing zahlbarer Kaufpreis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76.642.500,00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Allokation auf die wirtschaftlichen Einheiten (intern, ohne SPA-Pflicht)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Objekt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Bundesland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Grundbesitzwert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Anteil GBW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Allokation Equity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Anteil Equity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Logistikzentrum Haveltor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33,9 %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30.220.000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33,9 %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Umschlaghalle Mainbogen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24,1 %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21.486.000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24,1 %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Lagerpark Ruhrbogen (gesamt)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NRW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14.600.000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42,0 %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37.436.500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42,0 %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 davon Halle A+B (Eigentum)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NRW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25.130.000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 davon Halle C (Erbbaurecht 88 J.)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NRW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12.306.500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89.142.500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GrESt-Bemessungsgrundlage je Belegenheits-FA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Bundesland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Belegenheits-FA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Bemessungsgrundlage GrESt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Steuersatz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Erwartete GrESt einfach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Brandenburg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 Oranienburg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6,5 %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767.000,00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 Frankfurt am Main IV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6,0 %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504.000,00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Nordrhein-Westfalen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 Essen-Süd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6,5 %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949.000,00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34.800.000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--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2.220.000,00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Doppelbelastungsszenario (worst 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Festsetzung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 Abs. 2b GrEStG (gegen Waldkrone Logistik GmbH)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2.220.000,00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1 Abs. 3 GrEStG (gegen SHC Germany HoldCo GmbH)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2.220.000,00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Doppelbelastung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4.440.000,00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zzgl. Säumniszuschläge / Verzugszinsen (Schätzung, 6 Monate)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zzgl. Verfahrenskosten (FA + Übersetzung + Beratung)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100.000,00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Gesamtschätzung worst case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4.620.000,00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V. Liquiditätsbedarf bei Doppelbelastung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Volumen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SPA-Escrow (gesperrt durch Käuferin)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blockiert seit 13.05.2026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Bankbürgschaft Helaba für Sicherheitsleistung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Stand-by, Konditionen 0,4 % p. a.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Brückenfinanzierung Konsortium (ING/Helaba/UniCredit)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abrufbar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Eigenmittel SHC Germany HoldCo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Cash on HoldCo Buchhaltung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Verfügbare Liquidität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10.700.000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 xml:space="preserve">Liquidität ist nicht knapp; das Problem ist die </w:t>
      </w:r>
      <w:r>
        <w:rPr>
          <w:b/>
        </w:rPr>
        <w:t>Bilanzwirkung</w:t>
      </w:r>
      <w:r>
        <w:t xml:space="preserve"> im Konzernabschluss Q2/2026 Silver Harbour Capital plc.</w:t>
      </w:r>
    </w:p>
    <w:p>
      <w:pPr>
        <w:pStyle w:val="Heading2"/>
      </w:pPr>
      <w:r>
        <w:rPr>
          <w:rFonts w:ascii="Times New Roman" w:hAnsi="Times New Roman"/>
        </w:rPr>
        <w:t>VI. Bilanzielle Rückstellung Q2/2026 --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Rückstellung einfache GrESt (eingeplant)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2.220.000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bereits in Locked-Box-Bewertung berücksichtigt; rückwirkend als Rückstellung gebucht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Rückstellung Doppelbelastungsrisiko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2.220.000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Eintrittswahrscheinlichkeit &gt; 50 % nach FA-Anhörung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Rückstellung Verfahrens- und Zinskosten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konservative Schätzung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 Rückstellung Q2/2026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4.540.000</w:t>
            </w:r>
          </w:p>
        </w:tc>
        <w:tc>
          <w:tcPr>
            <w:tcW w:type="dxa" w:w="3024"/>
          </w:tcPr>
          <w:p/>
        </w:tc>
      </w:tr>
    </w:tbl>
    <w:p>
      <w:pPr>
        <w:jc w:val="left"/>
      </w:pPr>
      <w:r>
        <w:t>Wenn die AdV-Strategie erfolgreich ist, wird die Rückstellung in Q3 oder Q4/2026 anteilig aufgelöst (typischerweise mit Aussetzungsbeschluss FA oder FG).</w:t>
      </w:r>
    </w:p>
    <w:p>
      <w:pPr>
        <w:pStyle w:val="Heading2"/>
      </w:pPr>
      <w:r>
        <w:rPr>
          <w:rFonts w:ascii="Times New Roman" w:hAnsi="Times New Roman"/>
        </w:rPr>
        <w:t>VII. Vergleich mit historischen Vergleichsfällen</w:t>
      </w:r>
    </w:p>
    <w:p>
      <w:pPr>
        <w:jc w:val="left"/>
      </w:pPr>
      <w:r>
        <w:t>Für die Plausibilisierung haben wir vier vergleichbare Logistik-Share-Deals aus den Jahren 2023 -- 2025 aus der Kanzleidatenbank herangezogen: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Projekt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Volumen Equity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Grundbesitzwert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Ratio GBW/Equity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GrESt-Belastung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Projekt Nordstern (Hamburg)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40,2 %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einfach (kein Streit)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Projekt Birkenwald (NRW)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42,1 %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einfach (Anzeige akzeptiert)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Projekt Marschland (SH)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37,9 %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einfach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Projekt Stadtgarten (BB)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40,4 %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Doppelfestsetzung angekündigt, im AdV-Verfahren erfolgreich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Waldkrone (aktuell)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39,1 %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Doppelfestsetzung angekündigt</w:t>
            </w:r>
          </w:p>
        </w:tc>
      </w:tr>
    </w:tbl>
    <w:p>
      <w:pPr>
        <w:jc w:val="left"/>
      </w:pPr>
      <w:r>
        <w:t>Die GBW/Equity-Ratio liegt im üblichen Korridor (37 -- 42 %) deutscher Logistik-Share-Deals; eine GrESt-Festsetzungspraxis "auf Equity-Niveau" gibt es nicht, weil § 8 Abs. 2 GrEStG ausschließlich auf den Grundbesitzwert abstellt.</w:t>
      </w:r>
    </w:p>
    <w:p>
      <w:pPr>
        <w:pStyle w:val="Heading2"/>
      </w:pPr>
      <w:r>
        <w:rPr>
          <w:rFonts w:ascii="Times New Roman" w:hAnsi="Times New Roman"/>
        </w:rPr>
        <w:t>VIII. Eckdaten für FA-Stellungnahme</w:t>
      </w:r>
    </w:p>
    <w:p>
      <w:pPr>
        <w:pStyle w:val="ListBullet"/>
      </w:pPr>
      <w:r>
        <w:t>Grundbesitzwerte aus den letzten Feststellungen 31.12.2024 (drei separate Feststellungsbescheide pro Belegenheits-FA): Kopien im Datenraum, Folder 3.2 Tax/Real Estate Values.</w:t>
      </w:r>
    </w:p>
    <w:p>
      <w:pPr>
        <w:pStyle w:val="ListBullet"/>
      </w:pPr>
      <w:r>
        <w:t>Bewertung der Anteile an Waldkrone Logistik GmbH erfolgte im Rahmen der Locked-Box-Bewertung durch die Wirtschaftsprüfungsgesellschaft Bechler &amp; Partner KG, Bewertungsdatum 31.10.2025. Bewertungsverfahren: DCF, Multiples-Cross-Check.</w:t>
      </w:r>
    </w:p>
    <w:p>
      <w:pPr>
        <w:pStyle w:val="ListBullet"/>
      </w:pPr>
      <w:r>
        <w:t>Kaufpreis-Allokation ist im SPA nicht förmlich erfolgt; die obige interne Allokation ist verlagsbuchhalterisch begründet und korrespondiert proportional zu den Grundbesitzwerten.</w:t>
      </w:r>
    </w:p>
    <w:p>
      <w:pPr>
        <w:pStyle w:val="Heading2"/>
      </w:pPr>
      <w:r>
        <w:rPr>
          <w:rFonts w:ascii="Times New Roman" w:hAnsi="Times New Roman"/>
        </w:rPr>
        <w:t>IX. Risiken in der Plausibilisierung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Grundbesitzwerte zum 31.12.2024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können bis Erlass eines neuen Feststellungsbescheids fortgeschrieben sein (Stichtagsproblematik bei späterer Hauptfeststellung)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Erbbaurecht Halle C Lagerpark Ruhrbogen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gesonderter Grundbesitzwert (Erbbauberechtigter) -- Festsetzung könnte ggf. abweichen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Altlastenvermerk Umschlaghalle Mainbogen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Bewertungsabschlag möglich -- bisher nicht angesetzt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6a-Begünstigung Vorab-Umstrukturierung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falls versagt: zusätzliche GrESt ca. 200.000 -- 500.000 EUR, separat von der hier dargestellten Doppelbelastung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SHC Germany HoldCo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SHC Germany HoldCo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