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Term Sheet Bank — KG-Umstellung</w:t>
      </w:r>
    </w:p>
    <w:p>
      <w:pPr>
        <w:jc w:val="left"/>
      </w:pPr>
      <w:r>
        <w:t>Bankhaus Altonaer Kai eG bietet Erweiterung der Kontokorrentlinie auf 1,6 Mio. EUR unter Bedingungen:</w:t>
      </w:r>
    </w:p>
    <w:p>
      <w:pPr>
        <w:pStyle w:val="ListNumber"/>
      </w:pPr>
      <w:r>
        <w:t>Umstellung auf KG oder GmbH &amp; Co. KG bis 31.08.2026.</w:t>
      </w:r>
    </w:p>
    <w:p>
      <w:pPr>
        <w:pStyle w:val="ListNumber"/>
      </w:pPr>
      <w:r>
        <w:t>Investor Möller Speicherholding GmbH als Kommanditist mit Hafteinlage 250.000 EUR.</w:t>
      </w:r>
    </w:p>
    <w:p>
      <w:pPr>
        <w:pStyle w:val="ListNumber"/>
      </w:pPr>
      <w:r>
        <w:t>Prokura nur Gesamtprokura mit einem Gesellschafter.</w:t>
      </w:r>
    </w:p>
    <w:p>
      <w:pPr>
        <w:pStyle w:val="ListNumber"/>
      </w:pPr>
      <w:r>
        <w:t>Quartalsreporting nach HGB-Zahlen.</w:t>
      </w:r>
    </w:p>
    <w:p>
      <w:pPr>
        <w:pStyle w:val="ListNumber"/>
      </w:pPr>
      <w:r>
        <w:t>Offenlegung aller Lieferantenrahmenverträge über 100.000 EUR.</w:t>
      </w:r>
    </w:p>
    <w:p>
      <w:pPr>
        <w:jc w:val="left"/>
      </w:pPr>
      <w:r>
        <w:t>Die Mandantin fragt, ob sie bis zur Eintragung schon als KG auftreten darf.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GmbH &amp; Co. KG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