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Vergleichsplan Soltronic / Bank / Investor</w:t>
      </w:r>
    </w:p>
    <w:p>
      <w:pPr>
        <w:pStyle w:val="Heading2"/>
      </w:pPr>
      <w:r>
        <w:rPr>
          <w:rFonts w:ascii="Times New Roman" w:hAnsi="Times New Roman"/>
        </w:rPr>
        <w:t>Soltronic</w:t>
      </w:r>
    </w:p>
    <w:p>
      <w:pPr>
        <w:pStyle w:val="ListBullet"/>
      </w:pPr>
      <w:r>
        <w:t>Austausch der 11 fehlerhaften Geräte oder Firmware-Update binnen 14 Tagen.</w:t>
      </w:r>
    </w:p>
    <w:p>
      <w:pPr>
        <w:pStyle w:val="ListBullet"/>
      </w:pPr>
      <w:r>
        <w:t>Elbwerft zahlt unstreitige Rechnungen.</w:t>
      </w:r>
    </w:p>
    <w:p>
      <w:pPr>
        <w:pStyle w:val="ListBullet"/>
      </w:pPr>
      <w:r>
        <w:t>Beide Seiten verzichten auf Präjudiz zu § 377 HGB.</w:t>
      </w:r>
    </w:p>
    <w:p>
      <w:pPr>
        <w:pStyle w:val="Heading2"/>
      </w:pPr>
      <w:r>
        <w:rPr>
          <w:rFonts w:ascii="Times New Roman" w:hAnsi="Times New Roman"/>
        </w:rPr>
        <w:t>Bank</w:t>
      </w:r>
    </w:p>
    <w:p>
      <w:pPr>
        <w:pStyle w:val="ListBullet"/>
      </w:pPr>
      <w:r>
        <w:t>Statuswechsel OHG sofort anmelden.</w:t>
      </w:r>
    </w:p>
    <w:p>
      <w:pPr>
        <w:pStyle w:val="ListBullet"/>
      </w:pPr>
      <w:r>
        <w:t>KG-Beitritt als zweite Stufe mit Investor dokumentieren.</w:t>
      </w:r>
    </w:p>
    <w:p>
      <w:pPr>
        <w:pStyle w:val="ListBullet"/>
      </w:pPr>
      <w:r>
        <w:t>Prokura künftig nur Gesamtprokura.</w:t>
      </w:r>
    </w:p>
    <w:p>
      <w:pPr>
        <w:pStyle w:val="Heading2"/>
      </w:pPr>
      <w:r>
        <w:rPr>
          <w:rFonts w:ascii="Times New Roman" w:hAnsi="Times New Roman"/>
        </w:rPr>
        <w:t>Investor</w:t>
      </w:r>
    </w:p>
    <w:p>
      <w:pPr>
        <w:pStyle w:val="ListBullet"/>
      </w:pPr>
      <w:r>
        <w:t>Beitritt erst nach Registerklarheit.</w:t>
      </w:r>
    </w:p>
    <w:p>
      <w:pPr>
        <w:pStyle w:val="ListBullet"/>
      </w:pPr>
      <w:r>
        <w:t>Haftsumme und Pflichteinlage identisch.</w:t>
      </w:r>
    </w:p>
    <w:p>
      <w:pPr>
        <w:pStyle w:val="ListBullet"/>
      </w:pPr>
      <w:r>
        <w:t>Außenauftritt vor Eintragung kontrollieren.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Statuswechsel OHG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Statuswechsel OHG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