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Mandatsnotiz Registerlage — Rabenhof Sensorik GmbH (HRB 246810 B, AG Charlottenburg)</w:t>
      </w:r>
    </w:p>
    <w:p>
      <w:pPr>
        <w:pStyle w:val="Heading2"/>
      </w:pPr>
      <w:r>
        <w:rPr>
          <w:rFonts w:ascii="Times New Roman" w:hAnsi="Times New Roman"/>
        </w:rPr>
        <w:t>Auftrag</w:t>
      </w:r>
    </w:p>
    <w:p>
      <w:pPr>
        <w:jc w:val="left"/>
      </w:pPr>
      <w:r>
        <w:t xml:space="preserve">Die Rabenhof Sensorik GmbH soll vor dem Closing der Serie-B-Finanzierung (Investorin: Spreewald Growth I GmbH) eine </w:t>
      </w:r>
      <w:r>
        <w:rPr>
          <w:b/>
        </w:rPr>
        <w:t>Barkapitalerhöhung von 25.000 EUR auf 46.250 EUR</w:t>
      </w:r>
      <w:r>
        <w:t xml:space="preserve"> eintragen lassen; zugleich soll </w:t>
      </w:r>
      <w:r>
        <w:rPr>
          <w:b/>
        </w:rPr>
        <w:t>Dr. Adelheid Mertens</w:t>
      </w:r>
      <w:r>
        <w:t xml:space="preserve"> als weitere Geschäftsführerin mit Einzelvertretungsbefugnis und Befreiung von § 181 BGB eingetragen werden. Das Registergericht Charlottenburg hat mit </w:t>
      </w:r>
      <w:r>
        <w:rPr>
          <w:b/>
        </w:rPr>
        <w:t>Zwischenverfügung vom 28.05.2026</w:t>
      </w:r>
      <w:r>
        <w:t xml:space="preserve"> (Rechtspflegerin Kaltenborn) vier Punkte beanstandet und Frist zur Stellungnahme von zwei Wochen gesetzt — </w:t>
      </w:r>
      <w:r>
        <w:rPr>
          <w:b/>
        </w:rPr>
        <w:t>Fristablauf 11.06.2026</w:t>
      </w:r>
      <w:r>
        <w:t xml:space="preserve"> (Aktenstück 02; Fristen in Aktenstück 07).</w:t>
      </w:r>
    </w:p>
    <w:p>
      <w:pPr>
        <w:pStyle w:val="Heading2"/>
      </w:pPr>
      <w:r>
        <w:rPr>
          <w:rFonts w:ascii="Times New Roman" w:hAnsi="Times New Roman"/>
        </w:rPr>
        <w:t>Kernkonflikt: zwei Gesellschafterlisten</w:t>
      </w:r>
    </w:p>
    <w:p>
      <w:pPr>
        <w:jc w:val="left"/>
      </w:pPr>
      <w:r>
        <w:t>Es kursieren zwei Listen (Aktenstücke 03/04):</w:t>
      </w:r>
    </w:p>
    <w:p>
      <w:pPr>
        <w:pStyle w:val="ListBullet"/>
      </w:pPr>
      <w:r>
        <w:rPr>
          <w:b/>
        </w:rPr>
        <w:t>Version A</w:t>
      </w:r>
      <w:r>
        <w:t xml:space="preserve"> (eingereicht mit der Anmeldung): Prozentwerte auf eine Nachkommastelle gerundet — Summe rechnerisch 100,1 %. Genau das rügt das Gericht (Punkt 1 der Zwischenverfügung) unter Hinweis auf § 40 GmbHG i.V.m. der Gesellschafterlistenverordnung (GesLV): Prozentangaben müssen je Geschäftsanteil angegeben sein; Rundung darf keine Summenabweichung erzeugen (§ 4 GesLV erlaubt Rundung auf eine Dezimalstelle, aber kaufmännisch korrekt und konsistent).</w:t>
      </w:r>
    </w:p>
    <w:p>
      <w:pPr>
        <w:pStyle w:val="ListBullet"/>
      </w:pPr>
      <w:r>
        <w:rPr>
          <w:b/>
        </w:rPr>
        <w:t>Version B</w:t>
      </w:r>
      <w:r>
        <w:t xml:space="preserve"> (von der Notarin nachgefertigt, 22.05.2026): vier Nachkommastellen, Summe exakt 100 %. Die Notarin hält B für maßgeblich.</w:t>
      </w:r>
    </w:p>
    <w:p>
      <w:pPr>
        <w:pStyle w:val="ListBullet"/>
      </w:pPr>
      <w:r>
        <w:rPr>
          <w:b/>
        </w:rPr>
        <w:t>Störfeuer Borchert Venture KG</w:t>
      </w:r>
      <w:r>
        <w:t xml:space="preserve"> (Altgesellschafterin, 21,08 %): beruft sich auf eine </w:t>
      </w:r>
      <w:r>
        <w:rPr>
          <w:b/>
        </w:rPr>
        <w:t>ältere Liste</w:t>
      </w:r>
      <w:r>
        <w:t xml:space="preserve"> und behauptet, der beim Handelsregister ihrer Komplementär-GmbH eingetragene </w:t>
      </w:r>
      <w:r>
        <w:rPr>
          <w:b/>
        </w:rPr>
        <w:t>Insolvenzeröffnungsvermerk sei "falsch gedeutet"</w:t>
      </w:r>
      <w:r>
        <w:t xml:space="preserve"> worden — tatsächlich sei nur über das Vermögen einer Schwestergesellschaft eröffnet. Punkt 3 der Zwischenverfügung verlangt lückenlose Vertretungsnachweise der KG (HR-Auszüge Komplementärin, ggf. Bestätigung des Insolvenzgerichts). </w:t>
      </w:r>
      <w:r>
        <w:rPr>
          <w:b/>
        </w:rPr>
        <w:t>Risiko:</w:t>
      </w:r>
      <w:r>
        <w:t xml:space="preserve"> Ist die Komplementärin tatsächlich in Insolvenz, war die Stimmabgabe der KG in der Kapitalerhöhungs-Versammlung vom 19.05.2026 schwebend unwirksam vertreten (§ 80 InsO — Verwaltungs- und Verfügungsbefugnis beim Verwalter); der Erhöhungsbeschluss (einstimmig gefasst) wäre dennoch wirksam, wenn die Stimmen der KG nicht beschlussnotwendig waren — bei 78,9 % Restquote der übrigen: Beschlussfähigkeit und Dreiviertelmehrheit (§ 53 Abs. 2 GmbHG) auch ohne KG erreicht. </w:t>
      </w:r>
      <w:r>
        <w:rPr>
          <w:b/>
        </w:rPr>
        <w:t>Gleichwohl sauber nachweisen, nicht argumentieren.</w:t>
      </w:r>
    </w:p>
    <w:p>
      <w:pPr>
        <w:pStyle w:val="Heading2"/>
      </w:pPr>
      <w:r>
        <w:rPr>
          <w:rFonts w:ascii="Times New Roman" w:hAnsi="Times New Roman"/>
        </w:rPr>
        <w:t>Die vier Beanstandungen und unsere Antwortlinie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Rüge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Antwort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Liste: Rundung/Summe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Liste Version B (vier Dezimalstellen) als maßgebliche Liste durch die Notarin einreichen lassen (§ 40 Abs. 2 GmbHG — Notarliste nach Mitwirkung an der Veränderung)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GF-Versicherung ohne Bezug auf Bestellung v. 19.05.2026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Ergänzte Versicherung nach § 39 Abs. 3 GmbHG mit ausdrücklichem Bestellungsbezug und Belehrungsvermerk (§ 53 Abs. 2 BZRG, § 6 Abs. 2 GmbHG) nachreichen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Vertretungsnachweise Borchert KG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Aktuelle HR-Auszüge + Negativbestätigung des Insolvenzgerichts zur Komplementärin; hilfsweise Darlegung der Beschlussfassung ohne KG-Stimmen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Firmenzusatz "Sensorik" vs. Unternehmensgegenstand Finanzierungsvermittlung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Klarstellung: Vermittlung nur konzernintern/anlassbezogen, keine erlaubnispflichtige Tätigkeit nach § 34c GewO bzw. KWG; vorsorglich Gegenstandsklarstellung im Anmeldetext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Zeitdruck</w:t>
      </w:r>
    </w:p>
    <w:p>
      <w:pPr>
        <w:jc w:val="left"/>
      </w:pPr>
      <w:r>
        <w:t xml:space="preserve">Spreewald Growth knüpft das Closing an die Eintragung </w:t>
      </w:r>
      <w:r>
        <w:rPr>
          <w:b/>
        </w:rPr>
        <w:t>bis KW 24</w:t>
      </w:r>
      <w:r>
        <w:t xml:space="preserve"> (Aktenstück 05). Strategie: Nachreichung gebündelt bis 06.06.2026 (drei Werktage Puffer vor Fristablauf), höfliche Sachstandsanfrage der Notarin am 10.06., keine telefonische Eskalation durch die Mandantin (Wunsch der CFO respektieren).</w:t>
      </w:r>
    </w:p>
    <w:p>
      <w:pPr>
        <w:pStyle w:val="Heading2"/>
      </w:pPr>
      <w:r>
        <w:rPr>
          <w:rFonts w:ascii="Times New Roman" w:hAnsi="Times New Roman"/>
        </w:rPr>
        <w:t>Sofortmaßnahmen</w:t>
      </w:r>
    </w:p>
    <w:p>
      <w:pPr>
        <w:pStyle w:val="ListNumber"/>
      </w:pPr>
      <w:r>
        <w:t>Notarin: Liste B einreichen + ergänzte GF-Versicherung beurkundungsfest formulieren (Entwurf Aktenstück 06).</w:t>
      </w:r>
    </w:p>
    <w:p>
      <w:pPr>
        <w:pStyle w:val="ListNumber"/>
      </w:pPr>
      <w:r>
        <w:t>Borchert KG: HR-Auszüge ziehen (heute), Anfrage Insolvenzgericht der Komplementärin (Eilvermerk).</w:t>
      </w:r>
    </w:p>
    <w:p>
      <w:pPr>
        <w:pStyle w:val="ListNumber"/>
      </w:pPr>
      <w:r>
        <w:t>CP-Liste des Serie-B-Vertrags prüfen: Ersatzweise Closing-Struktur "Signing fest, Closing aufschiebend bedingt auf Eintragung" mit Long-Stop 30.06.2026 vorschlagen — nimmt Druck aus KW 24.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Rabenhof Sensorik GmbH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Rabenhof Sensorik GmbH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AG Charlottenburg)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