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Prüffragen für das Erstgespräch — Altfeld Vertrieb GmbH ./. Nordstern MedTech GmbH</w:t>
      </w:r>
    </w:p>
    <w:p>
      <w:pPr>
        <w:pStyle w:val="Heading2"/>
      </w:pPr>
      <w:r>
        <w:rPr>
          <w:rFonts w:ascii="Times New Roman" w:hAnsi="Times New Roman"/>
        </w:rPr>
        <w:t>Gesprächsteilnehmer</w:t>
      </w:r>
    </w:p>
    <w:p>
      <w:pPr>
        <w:pStyle w:val="ListBullet"/>
      </w:pPr>
      <w:r>
        <w:t>Mandant: Thorsten Altfeld, Geschäftsführer der Altfeld Vertrieb GmbH; Anja Altfeld aus der Buchhaltung nimmt zum Zahlenteil hinzu.</w:t>
      </w:r>
    </w:p>
    <w:p>
      <w:pPr>
        <w:pStyle w:val="ListBullet"/>
      </w:pPr>
      <w:r>
        <w:t>Anwalt: Dr. Frank Rohrhuber (Partner Handelsrecht), Stefanie Pollok (Senior Associate).</w:t>
      </w:r>
    </w:p>
    <w:p>
      <w:pPr>
        <w:pStyle w:val="ListBullet"/>
      </w:pPr>
      <w:r>
        <w:t>Voraussichtliche Dauer: 90 Minuten.</w:t>
      </w:r>
    </w:p>
    <w:p>
      <w:pPr>
        <w:pStyle w:val="ListBullet"/>
      </w:pPr>
      <w:r>
        <w:t>Datum/Ort: 05.06.2026, 10:00 Uhr, Konferenzraum Kanzlei oder online via Justiz-Tauglichem Videocall.</w:t>
      </w:r>
    </w:p>
    <w:p>
      <w:pPr>
        <w:pStyle w:val="Heading2"/>
      </w:pPr>
      <w:r>
        <w:rPr>
          <w:rFonts w:ascii="Times New Roman" w:hAnsi="Times New Roman"/>
        </w:rPr>
        <w:t>Gesprächsziele</w:t>
      </w:r>
    </w:p>
    <w:p>
      <w:pPr>
        <w:pStyle w:val="ListNumber"/>
      </w:pPr>
      <w:r>
        <w:t>Sachverhalt vollständig erheben.</w:t>
      </w:r>
    </w:p>
    <w:p>
      <w:pPr>
        <w:pStyle w:val="ListNumber"/>
      </w:pPr>
      <w:r>
        <w:t>Mandantenziel klären — Klage auf Ausgleich, Vergleich, Statusfeststellung, Karenz?</w:t>
      </w:r>
    </w:p>
    <w:p>
      <w:pPr>
        <w:pStyle w:val="ListNumber"/>
      </w:pPr>
      <w:r>
        <w:t>Risiken transparent benennen, insbesondere zu Beweislage Stornoreserve und Online-Vertrieb.</w:t>
      </w:r>
    </w:p>
    <w:p>
      <w:pPr>
        <w:pStyle w:val="ListNumber"/>
      </w:pPr>
      <w:r>
        <w:t>Mandatsvertrag und Honorarvereinbarung unterzeichnen.</w:t>
      </w:r>
    </w:p>
    <w:p>
      <w:pPr>
        <w:pStyle w:val="ListNumber"/>
      </w:pPr>
      <w:r>
        <w:t>Sofortmaßnahmen verteilen (Buchauszugsverlangen, Zeugenkontakt, Beweissicherung).</w:t>
      </w:r>
    </w:p>
    <w:p>
      <w:pPr>
        <w:pStyle w:val="Heading2"/>
      </w:pPr>
      <w:r>
        <w:rPr>
          <w:rFonts w:ascii="Times New Roman" w:hAnsi="Times New Roman"/>
        </w:rPr>
        <w:t>Strukturierte Prüffragen</w:t>
      </w:r>
    </w:p>
    <w:p>
      <w:pPr>
        <w:pStyle w:val="Heading3"/>
      </w:pPr>
      <w:r>
        <w:rPr>
          <w:rFonts w:ascii="Times New Roman" w:hAnsi="Times New Roman"/>
        </w:rPr>
        <w:t>Block A: Welche Entscheidung soll am Ende unterschrieben werden?</w:t>
      </w:r>
    </w:p>
    <w:p>
      <w:pPr>
        <w:pStyle w:val="ListNumber"/>
      </w:pPr>
      <w:r>
        <w:t>Wollen Sie die Vertragsbeendigung als solche akzeptieren oder bestreiten Sie sie inhaltlich (Behauptung wichtiger Grund)?</w:t>
      </w:r>
    </w:p>
    <w:p>
      <w:pPr>
        <w:pStyle w:val="ListNumber"/>
      </w:pPr>
      <w:r>
        <w:t>Ist Ihr vorrangiges Ziel der Ausgleichsanspruch nach Paragraf  89b HGB (Ausgleichsanspruch nach Paragraf 89b HGB auf Grundlage der Kunden- und Provisionsdaten), oder eine Provisionsnachzahlung (Buchauszug, Stornoreserve, ungeklärte Sätze), oder beides?</w:t>
      </w:r>
    </w:p>
    <w:p>
      <w:pPr>
        <w:pStyle w:val="ListNumber"/>
      </w:pPr>
      <w:r>
        <w:t>Wie hoch ist Ihre wirtschaftliche Schmerzgrenze: Welcher Vergleichsbetrag würde Sie nach Steuern und Kosten in eine akzeptable Lage versetzen?</w:t>
      </w:r>
    </w:p>
    <w:p>
      <w:pPr>
        <w:pStyle w:val="ListNumber"/>
      </w:pPr>
      <w:r>
        <w:t>Wie wichtig sind Ihnen Verhandlungen über die Karenzentschädigung nach Paragraf  90a HGB — wollen Sie weiterhin im Vertragsgebiet Nordrhein-Westfalen und Hessen Medizintechnik verkaufen, oder ist die Karenzentschädigung Geld, das Sie ohnehin haben wollen?</w:t>
      </w:r>
    </w:p>
    <w:p>
      <w:pPr>
        <w:pStyle w:val="Heading3"/>
      </w:pPr>
      <w:r>
        <w:rPr>
          <w:rFonts w:ascii="Times New Roman" w:hAnsi="Times New Roman"/>
        </w:rPr>
        <w:t>Block B: Welche Unterlagen fehlen noch wirklich?</w:t>
      </w:r>
    </w:p>
    <w:p>
      <w:pPr>
        <w:pStyle w:val="ListNumber"/>
      </w:pPr>
      <w:r>
        <w:t xml:space="preserve">Haben Sie den </w:t>
      </w:r>
      <w:r>
        <w:rPr>
          <w:b/>
        </w:rPr>
        <w:t>Originalvertrag</w:t>
      </w:r>
      <w:r>
        <w:t xml:space="preserve"> in Papier mit allen Anlagen (Bezirkskarte, Produktliste, Provisionsstaffel)? Bitte ggf. heute in der Kanzlei kopieren lassen.</w:t>
      </w:r>
    </w:p>
    <w:p>
      <w:pPr>
        <w:pStyle w:val="ListNumber"/>
      </w:pPr>
      <w:r>
        <w:t xml:space="preserve">Verfügen Sie über </w:t>
      </w:r>
      <w:r>
        <w:rPr>
          <w:b/>
        </w:rPr>
        <w:t>alle Provisionsabrechnungen</w:t>
      </w:r>
      <w:r>
        <w:t xml:space="preserve"> der letzten fünf Jahre? Bitte vollständig — auch die monatlichen, nicht nur die Jahres-Übersichten.</w:t>
      </w:r>
    </w:p>
    <w:p>
      <w:pPr>
        <w:pStyle w:val="ListNumber"/>
      </w:pPr>
      <w:r>
        <w:t xml:space="preserve">Haben Sie </w:t>
      </w:r>
      <w:r>
        <w:rPr>
          <w:b/>
        </w:rPr>
        <w:t>interne E-Mails</w:t>
      </w:r>
      <w:r>
        <w:t xml:space="preserve"> zwischen Ihnen und dem Vertriebsleiter / Geschäftsführer Vertrieb / Controlling der Nordstern MedTech, die das Bezirksverständnis, die Bonusvereinbarungen oder die Online-Vertriebsumstellung dokumentieren?</w:t>
      </w:r>
    </w:p>
    <w:p>
      <w:pPr>
        <w:pStyle w:val="ListNumber"/>
      </w:pPr>
      <w:r>
        <w:t xml:space="preserve">Haben Sie selbst eine </w:t>
      </w:r>
      <w:r>
        <w:rPr>
          <w:b/>
        </w:rPr>
        <w:t>Stornoaufstellung</w:t>
      </w:r>
      <w:r>
        <w:t xml:space="preserve"> geführt, die wir mit der Stornoaufstellung der Nordstern (Aktenstück 17) abgleichen können?</w:t>
      </w:r>
    </w:p>
    <w:p>
      <w:pPr>
        <w:pStyle w:val="ListNumber"/>
      </w:pPr>
      <w:r>
        <w:t xml:space="preserve">Haben Sie </w:t>
      </w:r>
      <w:r>
        <w:rPr>
          <w:b/>
        </w:rPr>
        <w:t>CRM-Exporte oder Notizen</w:t>
      </w:r>
      <w:r>
        <w:t xml:space="preserve"> aus den letzten Jahren, die belegen, dass Sie Neukunden eigenständig akquiriert haben (z. B. Quellen wie Empfehlung, Messekontakt, eigene Kaltakquise)?</w:t>
      </w:r>
    </w:p>
    <w:p>
      <w:pPr>
        <w:pStyle w:val="ListNumber"/>
      </w:pPr>
      <w:r>
        <w:t xml:space="preserve">Existieren </w:t>
      </w:r>
      <w:r>
        <w:rPr>
          <w:b/>
        </w:rPr>
        <w:t>WhatsApp- oder SMS-Verläufe</w:t>
      </w:r>
      <w:r>
        <w:t xml:space="preserve"> mit dem Geschäftsführer Vertrieb über die Bezirksabgrenzung? Wir haben den Verlauf aus November 2024 (Aktenstück 11), gibt es weitere?</w:t>
      </w:r>
    </w:p>
    <w:p>
      <w:pPr>
        <w:pStyle w:val="Heading3"/>
      </w:pPr>
      <w:r>
        <w:rPr>
          <w:rFonts w:ascii="Times New Roman" w:hAnsi="Times New Roman"/>
        </w:rPr>
        <w:t>Block C: Welche technische oder wirtschaftliche Tatsache darf nicht einfach unterstellt werden?</w:t>
      </w:r>
    </w:p>
    <w:p>
      <w:pPr>
        <w:pStyle w:val="ListNumber"/>
      </w:pPr>
      <w:r>
        <w:t>Stornoreserve: Wissen Sie, wie Nordstern die 10 % berechnet? Auf welche Provisionsmasse? Wird etwas erstattet bei Nichteintritt des Stornos? Wenn ja, wann?</w:t>
      </w:r>
    </w:p>
    <w:p>
      <w:pPr>
        <w:pStyle w:val="ListNumber"/>
      </w:pPr>
      <w:r>
        <w:t>Online-Shop: Wann hat Nordstern den Online-Shop in Ihrem Bezirk live geschaltet? Wurde Ihnen das angekündigt? Wurden Bestellungen aus Ihrem Bezirk vor und nach Go-Live unterschiedlich bepreist?</w:t>
      </w:r>
    </w:p>
    <w:p>
      <w:pPr>
        <w:pStyle w:val="ListNumber"/>
      </w:pPr>
      <w:r>
        <w:t>Klinikum Westbogen: Wann und wie haben Sie die Erstkontakte mit den maßgeblichen Klinik-Ansprechpartnern aufgebaut? Wer kann das bezeugen?</w:t>
      </w:r>
    </w:p>
    <w:p>
      <w:pPr>
        <w:pStyle w:val="ListNumber"/>
      </w:pPr>
      <w:r>
        <w:t>Margin-Anpassungen: Haben Sie Provisionsabrechnungen bekommen, in denen Rabatte gegenüber dem Vertrag großzügiger durchgereicht wurden, ohne dass Sie darüber informiert waren?</w:t>
      </w:r>
    </w:p>
    <w:p>
      <w:pPr>
        <w:pStyle w:val="Heading3"/>
      </w:pPr>
      <w:r>
        <w:rPr>
          <w:rFonts w:ascii="Times New Roman" w:hAnsi="Times New Roman"/>
        </w:rPr>
        <w:t>Block D: Wer kann verbindlich Auskunft geben?</w:t>
      </w:r>
    </w:p>
    <w:p>
      <w:pPr>
        <w:pStyle w:val="ListNumber"/>
      </w:pPr>
      <w:r>
        <w:t xml:space="preserve">Welche </w:t>
      </w:r>
      <w:r>
        <w:rPr>
          <w:b/>
        </w:rPr>
        <w:t>Personen bei Nordstern</w:t>
      </w:r>
      <w:r>
        <w:t xml:space="preserve"> sind für die strittigen Fragen ansprechbar — bitte Liste mit Namen, Funktion, Erreichbarkeit, Verhältnis zu Ihnen (freundlich, neutral, feindlich)?</w:t>
      </w:r>
    </w:p>
    <w:p>
      <w:pPr>
        <w:pStyle w:val="ListNumber"/>
      </w:pPr>
      <w:r>
        <w:t>Gibt es einen ehemaligen Mitarbeiter / eine ehemalige Mitarbeiterin von Nordstern, der/die abstrakt zur Stornoreserve-Praxis aussagen würde?</w:t>
      </w:r>
    </w:p>
    <w:p>
      <w:pPr>
        <w:pStyle w:val="ListNumber"/>
      </w:pPr>
      <w:r>
        <w:t xml:space="preserve">Haben Sie </w:t>
      </w:r>
      <w:r>
        <w:rPr>
          <w:b/>
        </w:rPr>
        <w:t>Fachverbände</w:t>
      </w:r>
      <w:r>
        <w:t xml:space="preserve"> kontaktiert (Bundesverband Handelsvertreter, CDH)? Wenn ja, mit welchem Ergebnis?</w:t>
      </w:r>
    </w:p>
    <w:p>
      <w:pPr>
        <w:pStyle w:val="ListNumber"/>
      </w:pPr>
      <w:r>
        <w:t>Wer ist Ihr Steuerberater, und welche Information könnte er zur steuerlichen Verbuchung der Provisionen, USt-Erfassung der Provisionen, GoA-Notizen Ihrer Buchhaltung beisteuern?</w:t>
      </w:r>
    </w:p>
    <w:p>
      <w:pPr>
        <w:pStyle w:val="Heading3"/>
      </w:pPr>
      <w:r>
        <w:rPr>
          <w:rFonts w:ascii="Times New Roman" w:hAnsi="Times New Roman"/>
        </w:rPr>
        <w:t>Block E: Welche Rechtsquelle muss live geprüft werden?</w:t>
      </w:r>
    </w:p>
    <w:p>
      <w:pPr>
        <w:pStyle w:val="ListNumber"/>
      </w:pPr>
      <w:r>
        <w:t>Aktuelle Fassung der Paragrafen  84-92c HGB — Stand: ohne Änderungen seit 2023, aber Aktualitätsprüfung erforderlich.</w:t>
      </w:r>
    </w:p>
    <w:p>
      <w:pPr>
        <w:pStyle w:val="ListNumber"/>
      </w:pPr>
      <w:r>
        <w:t>EU-Richtlinie 86/653/EWG und ihre Wirkung auf die Auslegung des Paragraf  89b HGB durch deutsche Gerichte — gibt es 2024/2025 EuGH-Vorabentscheidungen?</w:t>
      </w:r>
    </w:p>
    <w:p>
      <w:pPr>
        <w:pStyle w:val="ListNumber"/>
      </w:pPr>
      <w:r>
        <w:t xml:space="preserve">BGH-Rechtsprechung zur </w:t>
      </w:r>
      <w:r>
        <w:rPr>
          <w:b/>
        </w:rPr>
        <w:t>Substantiierung des Ausgleichsanspruchs</w:t>
      </w:r>
      <w:r>
        <w:t xml:space="preserve"> — welche Anforderungen aktuell?</w:t>
      </w:r>
    </w:p>
    <w:p>
      <w:pPr>
        <w:pStyle w:val="ListNumber"/>
      </w:pPr>
      <w:r>
        <w:t>BGH zur Bezirksvertretung beim Online-Vertrieb — welche Linie (Vergütung bei nicht selbst vermittelten Bezirksumsätzen)? Az im Mandat an aktueller amtlicher Quelle prüfen.</w:t>
      </w:r>
    </w:p>
    <w:p>
      <w:pPr>
        <w:pStyle w:val="ListNumber"/>
      </w:pPr>
      <w:r>
        <w:t>Paragraf  90a HGB-Wirksamkeit der Wettbewerbsabrede — insbesondere die zwei-Jahres-Befristung im konkreten Vertrag.</w:t>
      </w:r>
    </w:p>
    <w:p>
      <w:pPr>
        <w:pStyle w:val="Heading2"/>
      </w:pPr>
      <w:r>
        <w:rPr>
          <w:rFonts w:ascii="Times New Roman" w:hAnsi="Times New Roman"/>
        </w:rPr>
        <w:t>Risiken transparent benennen</w:t>
      </w:r>
    </w:p>
    <w:p>
      <w:pPr>
        <w:pStyle w:val="ListBullet"/>
      </w:pPr>
      <w:r>
        <w:t>Bei Klage Risiko erheblicher Verfahrensdauer (mit erheblicher Verfahrensdauer; Gericht und Gerichtsstand sind anhand des vollständigen Vertrags zu bestimmen).</w:t>
      </w:r>
    </w:p>
    <w:p>
      <w:pPr>
        <w:pStyle w:val="ListBullet"/>
      </w:pPr>
      <w:r>
        <w:t>Buchauszug-Stufenklage kann sich über mehrere Jahre ziehen; Ausgleichsanspruch erst danach.</w:t>
      </w:r>
    </w:p>
    <w:p>
      <w:pPr>
        <w:pStyle w:val="ListBullet"/>
      </w:pPr>
      <w:r>
        <w:t>Beweis der Bezirks-Online-Umsätze schwierig, weil Nordstern die Daten kontrolliert.</w:t>
      </w:r>
    </w:p>
    <w:p>
      <w:pPr>
        <w:pStyle w:val="ListBullet"/>
      </w:pPr>
      <w:r>
        <w:t>Vergleichsbereitschaft auf Gegenseite typischerweise nach Buchauszug-Verurteilung.</w:t>
      </w:r>
    </w:p>
    <w:p>
      <w:pPr>
        <w:pStyle w:val="Heading2"/>
      </w:pPr>
      <w:r>
        <w:rPr>
          <w:rFonts w:ascii="Times New Roman" w:hAnsi="Times New Roman"/>
        </w:rPr>
        <w:t>Kostenstruktur</w:t>
      </w:r>
    </w:p>
    <w:p>
      <w:pPr>
        <w:pStyle w:val="ListBullet"/>
      </w:pPr>
      <w:r>
        <w:t>RVG nach Streitwert mit Hebesatz 1,3 → 1,5; ggf. Honorarvereinbarung auf Stundenbasis (250 EUR/Stunde) prüfen.</w:t>
      </w:r>
    </w:p>
    <w:p>
      <w:pPr>
        <w:pStyle w:val="ListBullet"/>
      </w:pPr>
      <w:r>
        <w:t>Stufenklage-Streitwerthebelung: Buchauszug-Streitwert separat, dann Ausgleichs-Streitwert.</w:t>
      </w:r>
    </w:p>
    <w:p>
      <w:pPr>
        <w:pStyle w:val="ListBullet"/>
      </w:pPr>
      <w:r>
        <w:t>Prozesskostenvorschuss erforderlich.</w:t>
      </w:r>
    </w:p>
    <w:p>
      <w:pPr>
        <w:pStyle w:val="ListBullet"/>
      </w:pPr>
      <w:r>
        <w:t>Klärung Rechtsschutzversicherung: ggf. heute Deckungsanfrage vorbereiten.</w:t>
      </w:r>
    </w:p>
    <w:p>
      <w:pPr>
        <w:pStyle w:val="Heading2"/>
      </w:pPr>
      <w:r>
        <w:rPr>
          <w:rFonts w:ascii="Times New Roman" w:hAnsi="Times New Roman"/>
        </w:rPr>
        <w:t>Sofortmaßnahmen nach Gespräch</w:t>
      </w:r>
    </w:p>
    <w:p>
      <w:pPr>
        <w:pStyle w:val="ListNumber"/>
      </w:pPr>
      <w:r>
        <w:t>Mandatsvertrag und Honorarvereinbarung unterschreiben.</w:t>
      </w:r>
    </w:p>
    <w:p>
      <w:pPr>
        <w:pStyle w:val="ListNumber"/>
      </w:pPr>
      <w:r>
        <w:t>Vollmacht für Buchauszugsverlangen unterschreiben.</w:t>
      </w:r>
    </w:p>
    <w:p>
      <w:pPr>
        <w:pStyle w:val="ListNumber"/>
      </w:pPr>
      <w:r>
        <w:t>Übergabe der noch fehlenden Original-Unterlagen (Punkte 5-10).</w:t>
      </w:r>
    </w:p>
    <w:p>
      <w:pPr>
        <w:pStyle w:val="ListNumber"/>
      </w:pPr>
      <w:r>
        <w:t>Termine: nächstes Strategiegespräch in 14 Tagen (vor Buchauszug-Klageerhebung).</w:t>
      </w:r>
    </w:p>
    <w:p>
      <w:pPr>
        <w:pStyle w:val="Heading1"/>
      </w:pPr>
      <w:r>
        <w:t>Aktenabgleich vom 5. Juni 2026</w:t>
      </w:r>
    </w:p>
    <w:p>
      <w:pPr>
        <w:pStyle w:val="Heading2"/>
      </w:pPr>
      <w:r>
        <w:t>Identität und Vertragslinie</w:t>
      </w:r>
    </w:p>
    <w:p>
      <w:r>
        <w:t>Vertragspartnerin ist nach dem vorliegenden Auszug die Altfeld Vertrieb GmbH, Friedrich-Ebert-Straße 94, 34119 Kassel. Ältere Abrechnungen verwenden daneben die Geschäftsbezeichnung Altfeld Medizinhandel. Handelsregisterauszug, Umfirmierungsunterlagen und Rechnungsempfänger sind deshalb vor jeder Anspruchsberechnung gegeneinander zu halten.</w:t>
      </w:r>
    </w:p>
    <w:p>
      <w:r>
        <w:t>Der schriftliche Vertrag datiert vom 3. Juni 2018 und weist Nordrhein-Westfalen und Hessen als Gebiet aus. Der Originalordner mit Bezirkskarte, Produktliste, Provisionsstaffel und Nachträgen soll am 5. Juni 2026 in der Kanzlei abgegeben werden; bis dahin bleibt jede Aussage zum genauen Gebiets- und Kundenkreisschutz vorläufig.</w:t>
      </w:r>
    </w:p>
    <w:p>
      <w:pPr>
        <w:pStyle w:val="Heading2"/>
      </w:pPr>
      <w:r>
        <w:t>Zahlen- und Belegbezug</w:t>
      </w:r>
    </w:p>
    <w:p>
      <w:r>
        <w:t>Für 2025 stehen 186740 EUR abgerechnete Provisionen in der Controlling-Auskunft 204380 EUR in der Vertriebsdatei gegenüber. Die Vorgänge PO-1887, PO-1912 und PO-1920 sind mit Auftragswert, Ausführungsstand, Kundensitz, Provisionssatz, Reserve und späterer Freigabe einzeln aufzubereiten.</w:t>
      </w:r>
    </w:p>
    <w:p>
      <w:r>
        <w:t>Frau Anja Altfeld soll zu jeder Differenz die Originalabrechnung, den Kontoauszug und den zugehörigen CRM-Eintrag bezeichnen. Zeugenaussagen erhalten ein enges Beweisthema mit Datum, Wahrnehmung und betroffener Bestellung.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9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Altfeld Vertrieb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Altfeld Vertrieb GmbH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