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Prüffragen für das Erstgespräch — Waldkrone GmbH ./. Hinweisgeber</w:t>
      </w:r>
    </w:p>
    <w:p>
      <w:pPr>
        <w:pStyle w:val="Heading2"/>
      </w:pPr>
      <w:r>
        <w:rPr>
          <w:rFonts w:ascii="Times New Roman" w:hAnsi="Times New Roman"/>
        </w:rPr>
        <w:t>Gesprächskonstellation</w:t>
      </w:r>
    </w:p>
    <w:p>
      <w:pPr>
        <w:pStyle w:val="ListBullet"/>
      </w:pPr>
      <w:r>
        <w:t>Mandant: Waldkrone GmbH, vertreten durch Justiziarin Dr. Wedekind und externen Compliance Officer Herrn Steinmark.</w:t>
      </w:r>
    </w:p>
    <w:p>
      <w:pPr>
        <w:pStyle w:val="ListBullet"/>
      </w:pPr>
      <w:r>
        <w:t>Gesprächsgrund: Eingang einer HinSchG-Meldung am 22.05.2026, Nachreichung 30.05.2026; interne Bearbeitung gemäß §§ 12 ff. HinSchG.</w:t>
      </w:r>
    </w:p>
    <w:p>
      <w:pPr>
        <w:pStyle w:val="ListBullet"/>
      </w:pPr>
      <w:r>
        <w:t>Anwesend für Kanzlei: Partnerin Dr. Brettschneider (Strafrecht/Compliance), Associate Hellbrunn.</w:t>
      </w:r>
    </w:p>
    <w:p>
      <w:pPr>
        <w:pStyle w:val="ListBullet"/>
      </w:pPr>
      <w:r>
        <w:t>Datum/Ort: 04.06.2026, Konferenzraum Kanzlei.</w:t>
      </w:r>
    </w:p>
    <w:p>
      <w:pPr>
        <w:pStyle w:val="ListBullet"/>
      </w:pPr>
      <w:r>
        <w:t>Schutzpflicht: Identität der hinweisgebenden Person bleibt während des gesamten Gesprächs ungenannt.</w:t>
      </w:r>
    </w:p>
    <w:p>
      <w:pPr>
        <w:pStyle w:val="Heading2"/>
      </w:pPr>
      <w:r>
        <w:rPr>
          <w:rFonts w:ascii="Times New Roman" w:hAnsi="Times New Roman"/>
        </w:rPr>
        <w:t>Übergeordnete Gesprächsziele</w:t>
      </w:r>
    </w:p>
    <w:p>
      <w:pPr>
        <w:pStyle w:val="ListNumber"/>
      </w:pPr>
      <w:r>
        <w:t>Sachverhalt aus Sicht der Waldkrone GmbH so vollständig wie möglich aufnehmen, ohne den Schutz der hinweisgebenden Person zu gefährden.</w:t>
      </w:r>
    </w:p>
    <w:p>
      <w:pPr>
        <w:pStyle w:val="ListNumber"/>
      </w:pPr>
      <w:r>
        <w:t>Pflichten-Inventar erstellen: HinSchG, DSGVO, AWG, ProdSG, ggf. § 130 OWiG.</w:t>
      </w:r>
    </w:p>
    <w:p>
      <w:pPr>
        <w:pStyle w:val="ListNumber"/>
      </w:pPr>
      <w:r>
        <w:t>Schutzmaßnahmen für die hinweisgebende Person dokumentieren.</w:t>
      </w:r>
    </w:p>
    <w:p>
      <w:pPr>
        <w:pStyle w:val="ListNumber"/>
      </w:pPr>
      <w:r>
        <w:t>Klären, ob externe Eskalation (BfJ, Datenschutzaufsicht, BAFA) eingeleitet werden muss.</w:t>
      </w:r>
    </w:p>
    <w:p>
      <w:pPr>
        <w:pStyle w:val="ListNumber"/>
      </w:pPr>
      <w:r>
        <w:t>Mandatsverhältnis und Honorarvereinbarung schließen.</w:t>
      </w:r>
    </w:p>
    <w:p>
      <w:pPr>
        <w:pStyle w:val="Heading2"/>
      </w:pPr>
      <w:r>
        <w:rPr>
          <w:rFonts w:ascii="Times New Roman" w:hAnsi="Times New Roman"/>
        </w:rPr>
        <w:t>Strukturierte Prüffragen</w:t>
      </w:r>
    </w:p>
    <w:p>
      <w:pPr>
        <w:pStyle w:val="Heading3"/>
      </w:pPr>
      <w:r>
        <w:rPr>
          <w:rFonts w:ascii="Times New Roman" w:hAnsi="Times New Roman"/>
        </w:rPr>
        <w:t>Block A: Welche Entscheidung soll am Ende unterschrieben werden?</w:t>
      </w:r>
    </w:p>
    <w:p>
      <w:pPr>
        <w:pStyle w:val="ListNumber"/>
      </w:pPr>
      <w:r>
        <w:t xml:space="preserve">Soll bis zum Ende des Erstgesprächs eine </w:t>
      </w:r>
      <w:r>
        <w:rPr>
          <w:b/>
        </w:rPr>
        <w:t>interne Prüfungsstrategie</w:t>
      </w:r>
      <w:r>
        <w:t xml:space="preserve"> abgestimmt werden, oder eine externe Meldung sofort vorbereitet?</w:t>
      </w:r>
    </w:p>
    <w:p>
      <w:pPr>
        <w:pStyle w:val="ListNumber"/>
      </w:pPr>
      <w:r>
        <w:t xml:space="preserve">Wer ist intern bei der Waldkrone für </w:t>
      </w:r>
      <w:r>
        <w:rPr>
          <w:b/>
        </w:rPr>
        <w:t>letzte Freigaben</w:t>
      </w:r>
      <w:r>
        <w:t xml:space="preserve"> verantwortlich — Geschäftsleitung allein, oder mit Compliance-Komitee?</w:t>
      </w:r>
    </w:p>
    <w:p>
      <w:pPr>
        <w:pStyle w:val="ListNumber"/>
      </w:pPr>
      <w:r>
        <w:t>Soll die Kommunikation an die hinweisgebende Person allein durch die interne Meldestelle erfolgen oder mit Beteiligung externer Beratung?</w:t>
      </w:r>
    </w:p>
    <w:p>
      <w:pPr>
        <w:pStyle w:val="ListNumber"/>
      </w:pPr>
      <w:r>
        <w:t xml:space="preserve">Welche </w:t>
      </w:r>
      <w:r>
        <w:rPr>
          <w:b/>
        </w:rPr>
        <w:t>Worst-Case-Szenarien</w:t>
      </w:r>
      <w:r>
        <w:t xml:space="preserve"> soll die heutige Strategie bereits adressieren (z. B. Pressekontakt, Whistleblower geht an externe Meldestelle, Behördenanfrage)?</w:t>
      </w:r>
    </w:p>
    <w:p>
      <w:pPr>
        <w:pStyle w:val="Heading3"/>
      </w:pPr>
      <w:r>
        <w:rPr>
          <w:rFonts w:ascii="Times New Roman" w:hAnsi="Times New Roman"/>
        </w:rPr>
        <w:t>Block B: Welche Unterlagen fehlen noch wirklich?</w:t>
      </w:r>
    </w:p>
    <w:p>
      <w:pPr>
        <w:pStyle w:val="ListNumber"/>
      </w:pPr>
      <w:r>
        <w:rPr>
          <w:b/>
        </w:rPr>
        <w:t>Produktakte</w:t>
      </w:r>
      <w:r>
        <w:t xml:space="preserve"> des im Hinweis genannten Geschäftsbereichs — Vollständigkeit prüfen: Spezifikationen, Konformitätserklärungen, Lieferantendaten, Auditberichte der letzten zwei Jahre.</w:t>
      </w:r>
    </w:p>
    <w:p>
      <w:pPr>
        <w:pStyle w:val="ListNumber"/>
      </w:pPr>
      <w:r>
        <w:rPr>
          <w:b/>
        </w:rPr>
        <w:t>Exportfreigaben-Register</w:t>
      </w:r>
      <w:r>
        <w:t>: Sind alle Lieferungen in die im Hinweis genannten Bestimmungsländer dokumentiert? Welche Dual-Use-Klassifikationen wurden vergeben?</w:t>
      </w:r>
    </w:p>
    <w:p>
      <w:pPr>
        <w:pStyle w:val="ListNumber"/>
      </w:pPr>
      <w:r>
        <w:rPr>
          <w:b/>
        </w:rPr>
        <w:t>Vertriebs-Briefingmaterialien</w:t>
      </w:r>
      <w:r>
        <w:t>: Wer hat in welchem Zeitraum welche Vorgaben zur Preisgestaltung, Margin und Bonusberechnung erhalten?</w:t>
      </w:r>
    </w:p>
    <w:p>
      <w:pPr>
        <w:pStyle w:val="ListNumber"/>
      </w:pPr>
      <w:r>
        <w:rPr>
          <w:b/>
        </w:rPr>
        <w:t>HR-Aktenstand</w:t>
      </w:r>
      <w:r>
        <w:t xml:space="preserve"> zu den betroffenen Vertriebsmitarbeitenden: Beurteilungen, Zielvereinbarungen, Bonusprogramme.</w:t>
      </w:r>
    </w:p>
    <w:p>
      <w:pPr>
        <w:pStyle w:val="ListNumber"/>
      </w:pPr>
      <w:r>
        <w:rPr>
          <w:b/>
        </w:rPr>
        <w:t>E-Mail-Korrespondenz</w:t>
      </w:r>
      <w:r>
        <w:t xml:space="preserve"> zwischen Vertriebsleitung und Geschäftsleitung der letzten 12 Monate zum Thema "Margin-Druck" und "Bestellungen XY-Land".</w:t>
      </w:r>
    </w:p>
    <w:p>
      <w:pPr>
        <w:pStyle w:val="ListNumber"/>
      </w:pPr>
      <w:r>
        <w:rPr>
          <w:b/>
        </w:rPr>
        <w:t>Interne Audit- und Compliance-Berichte</w:t>
      </w:r>
      <w:r>
        <w:t xml:space="preserve"> der letzten drei Jahre.</w:t>
      </w:r>
    </w:p>
    <w:p>
      <w:pPr>
        <w:pStyle w:val="Heading3"/>
      </w:pPr>
      <w:r>
        <w:rPr>
          <w:rFonts w:ascii="Times New Roman" w:hAnsi="Times New Roman"/>
        </w:rPr>
        <w:t>Block C: Welche technische oder wirtschaftliche Tatsache darf nicht einfach unterstellt werden?</w:t>
      </w:r>
    </w:p>
    <w:p>
      <w:pPr>
        <w:pStyle w:val="ListNumber"/>
      </w:pPr>
      <w:r>
        <w:t>Beziehen sich die im Hinweis genannten Lieferungen tatsächlich auf Dual-Use-Güter? Bitte konkrete Artikelnummern und Anhang-Eintrag der Dual-Use-VO prüfen.</w:t>
      </w:r>
    </w:p>
    <w:p>
      <w:pPr>
        <w:pStyle w:val="ListNumber"/>
      </w:pPr>
      <w:r>
        <w:t xml:space="preserve">Wurden die Exportfreigaben </w:t>
      </w:r>
      <w:r>
        <w:rPr>
          <w:b/>
        </w:rPr>
        <w:t>mündlich</w:t>
      </w:r>
      <w:r>
        <w:t xml:space="preserve"> umgangen oder existieren schriftliche Anweisungen ("Lieferung trotz fehlender Freigabe")?</w:t>
      </w:r>
    </w:p>
    <w:p>
      <w:pPr>
        <w:pStyle w:val="ListNumber"/>
      </w:pPr>
      <w:r>
        <w:t>Ist die geschilderte "Drucksituation" im Vertrieb durch belastbare Indizien gestützt (E-Mail-Verkehr, Bonusvereinbarungen mit verbotenen Zielvorgaben)?</w:t>
      </w:r>
    </w:p>
    <w:p>
      <w:pPr>
        <w:pStyle w:val="ListNumber"/>
      </w:pPr>
      <w:r>
        <w:t>Sind die im Hinweis benannten Sanktionslisten-Personen / -Entitäten tatsächlich auf EU-Sanktionslisten gelistet, oder handelt es sich um Verwechslungen?</w:t>
      </w:r>
    </w:p>
    <w:p>
      <w:pPr>
        <w:pStyle w:val="ListNumber"/>
      </w:pPr>
      <w:r>
        <w:t>Wie viele Beschäftigte hatten Zugriff auf die im Hinweis genannten Prozesse? (Hintergrund: Re-Identifikationsrisiko der hinweisgebenden Person bei kleiner Personenanzahl.)</w:t>
      </w:r>
    </w:p>
    <w:p>
      <w:pPr>
        <w:pStyle w:val="Heading3"/>
      </w:pPr>
      <w:r>
        <w:rPr>
          <w:rFonts w:ascii="Times New Roman" w:hAnsi="Times New Roman"/>
        </w:rPr>
        <w:t>Block D: Wer kann verbindlich Auskunft geben?</w:t>
      </w:r>
    </w:p>
    <w:p>
      <w:pPr>
        <w:pStyle w:val="ListNumber"/>
      </w:pPr>
      <w:r>
        <w:t>Wer hat im Vertriebsbereich die letzte Verantwortung für die fragliche Bestellung? Name, Funktion, Verhältnis zur hinweisgebenden Person.</w:t>
      </w:r>
    </w:p>
    <w:p>
      <w:pPr>
        <w:pStyle w:val="ListNumber"/>
      </w:pPr>
      <w:r>
        <w:t>Wer ist im Compliance-Bereich für Exportkontrolle verantwortlich? Liegt eine schriftliche Funktionsbeschreibung vor?</w:t>
      </w:r>
    </w:p>
    <w:p>
      <w:pPr>
        <w:pStyle w:val="ListNumber"/>
      </w:pPr>
      <w:r>
        <w:t>Wer ist DSB? Hat die DSB bereits eine Stellungnahme zur Datenpannen-Frage abgegeben?</w:t>
      </w:r>
    </w:p>
    <w:p>
      <w:pPr>
        <w:pStyle w:val="ListNumber"/>
      </w:pPr>
      <w:r>
        <w:t>Wer ist Geschäftsführer mit Vertretungsbefugnis für externe Behördenkommunikation (HRB-Auszug aktuell)?</w:t>
      </w:r>
    </w:p>
    <w:p>
      <w:pPr>
        <w:pStyle w:val="ListNumber"/>
      </w:pPr>
      <w:r>
        <w:t>Gibt es externe Berater (Steuerberater, Wirtschaftsprüfer, Ausfuhrkontroll-Berater), die in den Sachverhalt eingebunden waren?</w:t>
      </w:r>
    </w:p>
    <w:p>
      <w:pPr>
        <w:pStyle w:val="Heading3"/>
      </w:pPr>
      <w:r>
        <w:rPr>
          <w:rFonts w:ascii="Times New Roman" w:hAnsi="Times New Roman"/>
        </w:rPr>
        <w:t>Block E: Welche Rechtsquelle muss live geprüft werden?</w:t>
      </w:r>
    </w:p>
    <w:p>
      <w:pPr>
        <w:pStyle w:val="ListNumber"/>
      </w:pPr>
      <w:r>
        <w:t>Hinweisgeberschutzgesetz (HinSchG) — Stand: in Kraft seit 02.07.2023, mit Änderungen 2024/2025? Live prüfen.</w:t>
      </w:r>
    </w:p>
    <w:p>
      <w:pPr>
        <w:pStyle w:val="ListNumber"/>
      </w:pPr>
      <w:r>
        <w:t>EU-Hinweisgeberschutzrichtlinie 2019/1937 und nationale Umsetzungen — gibt es Korrekturentscheidungen des EuGH?</w:t>
      </w:r>
    </w:p>
    <w:p>
      <w:pPr>
        <w:pStyle w:val="ListNumber"/>
      </w:pPr>
      <w:r>
        <w:t>AWG/AWV in der aktuellen Fassung; insbesondere die seit 2022 mehrfach erweiterten Sanktionslisten gegen Russland (Verordnung 833/2014 und Änderungen).</w:t>
      </w:r>
    </w:p>
    <w:p>
      <w:pPr>
        <w:pStyle w:val="ListNumber"/>
      </w:pPr>
      <w:r>
        <w:t>Dual-Use-VO 2021/821 — Anhang I konkrete Klassifizierung der streitigen Güter live prüfen.</w:t>
      </w:r>
    </w:p>
    <w:p>
      <w:pPr>
        <w:pStyle w:val="ListNumber"/>
      </w:pPr>
      <w:r>
        <w:t>DSGVO Art. 33 (Meldepflicht) und Art. 32 (TOMs) für die Vorgangsprotokollierung im Hinweisgeberkanal.</w:t>
      </w:r>
    </w:p>
    <w:p>
      <w:pPr>
        <w:pStyle w:val="ListNumber"/>
      </w:pPr>
      <w:r>
        <w:t>§ 130 OWiG (Aufsichtspflichtverletzung) und Voraussetzungen einer Verbandsgeldbuße nach § 30 OWiG.</w:t>
      </w:r>
    </w:p>
    <w:p>
      <w:pPr>
        <w:pStyle w:val="Heading2"/>
      </w:pPr>
      <w:r>
        <w:rPr>
          <w:rFonts w:ascii="Times New Roman" w:hAnsi="Times New Roman"/>
        </w:rPr>
        <w:t>Risiken transparent benennen</w:t>
      </w:r>
    </w:p>
    <w:p>
      <w:pPr>
        <w:pStyle w:val="ListBullet"/>
      </w:pPr>
      <w:r>
        <w:t>Strafrechtliches Risiko AWG für Geschäftsleitung und Vertriebsverantwortliche.</w:t>
      </w:r>
    </w:p>
    <w:p>
      <w:pPr>
        <w:pStyle w:val="ListBullet"/>
      </w:pPr>
      <w:r>
        <w:t>Verbandsgeldbuße nach § 30 OWiG bei unzureichender Compliance.</w:t>
      </w:r>
    </w:p>
    <w:p>
      <w:pPr>
        <w:pStyle w:val="ListBullet"/>
      </w:pPr>
      <w:r>
        <w:t>Reputationsrisiko bei Veröffentlichung des Vorgangs.</w:t>
      </w:r>
    </w:p>
    <w:p>
      <w:pPr>
        <w:pStyle w:val="ListBullet"/>
      </w:pPr>
      <w:r>
        <w:t>Pflicht zur Selbstanzeige nach AWG kann strafmildernd sein; falsche oder verspätete Selbstanzeige kann strafverschärfend wirken.</w:t>
      </w:r>
    </w:p>
    <w:p>
      <w:pPr>
        <w:pStyle w:val="ListBullet"/>
      </w:pPr>
      <w:r>
        <w:t>Re-Identifikationsrisiko der hinweisgebenden Person — Worst-Case Kündigungsschutzklage mit hohem Schadensersatz nach § 37 HinSchG.</w:t>
      </w:r>
    </w:p>
    <w:p>
      <w:pPr>
        <w:pStyle w:val="Heading2"/>
      </w:pPr>
      <w:r>
        <w:rPr>
          <w:rFonts w:ascii="Times New Roman" w:hAnsi="Times New Roman"/>
        </w:rPr>
        <w:t>Sofortmaßnahmen nach Gespräch</w:t>
      </w:r>
    </w:p>
    <w:p>
      <w:pPr>
        <w:pStyle w:val="ListNumber"/>
      </w:pPr>
      <w:r>
        <w:t>Mandatsvertrag mit ausdrücklicher Beratungsbefugnis für Compliance, AWG, Datenschutz unterschreiben.</w:t>
      </w:r>
    </w:p>
    <w:p>
      <w:pPr>
        <w:pStyle w:val="ListNumber"/>
      </w:pPr>
      <w:r>
        <w:t>Information-Wall einrichten: Wer von der Geschäftsleitung darf was wissen?</w:t>
      </w:r>
    </w:p>
    <w:p>
      <w:pPr>
        <w:pStyle w:val="ListNumber"/>
      </w:pPr>
      <w:r>
        <w:t>AWG-Spezialist (extern) hinzuziehen für Selbstanzeige-Prüfung.</w:t>
      </w:r>
    </w:p>
    <w:p>
      <w:pPr>
        <w:pStyle w:val="ListNumber"/>
      </w:pPr>
      <w:r>
        <w:t>DSB-Vorabprüfung Datenpannen-Frage binnen 48 Stunden initiieren.</w:t>
      </w:r>
    </w:p>
    <w:p>
      <w:pPr>
        <w:pStyle w:val="ListNumber"/>
      </w:pPr>
      <w:r>
        <w:t>Decision-Log starten — pro Entscheidung Zeitstempel, Verantwortlicher, Begründung.</w:t>
      </w:r>
    </w:p>
    <w:p>
      <w:pPr>
        <w:pStyle w:val="ListNumber"/>
      </w:pPr>
      <w:r>
        <w:t>Termin für nächstes Strategiegespräch in 7 Tagen.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Waldkrone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Waldkrone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