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Grundlagenermittlung und Bedarfsplanung - Leistungsphase 1</w:t>
      </w:r>
    </w:p>
    <w:p>
      <w:pPr>
        <w:jc w:val="left"/>
      </w:pPr>
      <w:r>
        <w:t>Atelier Westarp und Partner mbB, Architektinnen und Architekten</w:t>
      </w:r>
    </w:p>
    <w:p>
      <w:pPr>
        <w:jc w:val="left"/>
      </w:pPr>
      <w:r>
        <w:t>Gontardstraße 14, 10178 Berlin</w:t>
      </w:r>
    </w:p>
    <w:p>
      <w:pPr>
        <w:jc w:val="left"/>
      </w:pPr>
      <w:r>
        <w:t>Projekt: Neubau Kindertagesstätte Mühlenhof, Barnetstraße 22, 12305 Berlin-Lichtenrade</w:t>
      </w:r>
    </w:p>
    <w:p>
      <w:pPr>
        <w:jc w:val="left"/>
      </w:pPr>
      <w:r>
        <w:t>Aktenvermerk zur Grundlagenermittlung, Stand 28.01.2026</w:t>
      </w:r>
    </w:p>
    <w:p>
      <w:pPr>
        <w:pStyle w:val="Heading2"/>
      </w:pPr>
      <w:r>
        <w:rPr>
          <w:rFonts w:ascii="Times New Roman" w:hAnsi="Times New Roman"/>
        </w:rPr>
        <w:t>1 Zweck und Grundlagen des Vermerks</w:t>
      </w:r>
    </w:p>
    <w:p>
      <w:pPr>
        <w:jc w:val="left"/>
      </w:pPr>
      <w:r>
        <w:t>Dieser Vermerk hält das Ergebnis der Grundlagenermittlung nach § 34 HOAI 2021 in Verbindung mit Anlage 10 (Leistungsphase 1) fest. Er beruht auf dem Auftaktgespräch vom 19.01.2026 in den Räumen der Auftraggeberin, der Ortsbesichtigung vom 21.01.2026 sowie den bis zum 28.01.2026 vorgelegten Unterlagen.</w:t>
      </w:r>
    </w:p>
    <w:p>
      <w:pPr>
        <w:jc w:val="left"/>
      </w:pPr>
      <w:r>
        <w:t>Teilgenommen haben für die Auftraggeberin Frau Dr. Annegret Sommer (Geschäftsführerin) und Herr Milan Kovač (Trägervertreter Kita-Betrieb), für die Auftragnehmerin Frau Dipl.-Ing. Katrin Westarp und Herr M. A. Jonas Reinke.</w:t>
      </w:r>
    </w:p>
    <w:p>
      <w:pPr>
        <w:pStyle w:val="Heading2"/>
      </w:pPr>
      <w:r>
        <w:rPr>
          <w:rFonts w:ascii="Times New Roman" w:hAnsi="Times New Roman"/>
        </w:rPr>
        <w:t>2 Geklärte Grundlagen</w:t>
      </w:r>
    </w:p>
    <w:p>
      <w:pPr>
        <w:pStyle w:val="Heading3"/>
      </w:pPr>
      <w:r>
        <w:rPr>
          <w:rFonts w:ascii="Times New Roman" w:hAnsi="Times New Roman"/>
        </w:rPr>
        <w:t>2.1 Standort und Baurecht</w:t>
      </w:r>
    </w:p>
    <w:p>
      <w:pPr>
        <w:jc w:val="left"/>
      </w:pPr>
      <w:r>
        <w:t>Das Grundstück Barnetstraße 22 liegt im Bezirk Tempelhof-Schöneberg von Berlin. Es ist erschlossen und für die geplante Nutzung als Kindertagesstätte grundsätzlich geeignet. Die planungsrechtliche Zulässigkeit ist im Grundsatz gegeben; die abschließende Beurteilung bleibt der Genehmigungsplanung vorbehalten.</w:t>
      </w:r>
    </w:p>
    <w:p>
      <w:pPr>
        <w:pStyle w:val="Heading3"/>
      </w:pPr>
      <w:r>
        <w:rPr>
          <w:rFonts w:ascii="Times New Roman" w:hAnsi="Times New Roman"/>
        </w:rPr>
        <w:t>2.2 Programm und Platzzahl</w:t>
      </w:r>
    </w:p>
    <w:p>
      <w:pPr>
        <w:jc w:val="left"/>
      </w:pPr>
      <w:r>
        <w:t>Vorgesehen sind sechsundneunzig Betreuungsplätze. Das Raumprogramm umfasst Gruppenräume, einen Bewegungsraum, eine Quartiersküche als Vollküche, ein Elterncafé sowie Nebenräume und Freianlagen. Das pädagogische Konzept liegt vor und ist mit dem Raumprogramm im Grundsatz abgestimmt.</w:t>
      </w:r>
    </w:p>
    <w:p>
      <w:pPr>
        <w:pStyle w:val="Heading3"/>
      </w:pPr>
      <w:r>
        <w:rPr>
          <w:rFonts w:ascii="Times New Roman" w:hAnsi="Times New Roman"/>
        </w:rPr>
        <w:t>2.3 Wünsche der Auftraggeberin</w:t>
      </w:r>
    </w:p>
    <w:p>
      <w:pPr>
        <w:jc w:val="left"/>
      </w:pPr>
      <w:r>
        <w:t>Die Auftraggeberin legt Wert auf einen großzügigen Bewegungsraum mit Gartenbezug und auf die Quartiersküche als Ort der Begegnung. Das Elterncafé soll auch außerhalb der Betreuungszeiten genutzt werden können.</w:t>
      </w:r>
    </w:p>
    <w:p>
      <w:pPr>
        <w:pStyle w:val="Heading2"/>
      </w:pPr>
      <w:r>
        <w:rPr>
          <w:rFonts w:ascii="Times New Roman" w:hAnsi="Times New Roman"/>
        </w:rPr>
        <w:t>3 Offene Bedarfslücken</w:t>
      </w:r>
    </w:p>
    <w:p>
      <w:pPr>
        <w:jc w:val="left"/>
      </w:pPr>
      <w:r>
        <w:t>Die folgenden Punkte sind zu Beginn der Vorplanung ungeklärt und mit erheblichem Risiko behaftet:</w:t>
      </w:r>
    </w:p>
    <w:p>
      <w:pPr>
        <w:jc w:val="left"/>
      </w:pPr>
      <w:r>
        <w:t>3.1 Lärmschutz zur angrenzenden Wohnbebauung, insbesondere hinsichtlich der Freianlagen und der Anlieferung der Quartiersküche.</w:t>
      </w:r>
    </w:p>
    <w:p>
      <w:pPr>
        <w:jc w:val="left"/>
      </w:pPr>
      <w:r>
        <w:t>3.2 Lüftungsführung der Quartiersküche einschließlich der Frage der Dachdurchführung und der Geräuschprognose.</w:t>
      </w:r>
    </w:p>
    <w:p>
      <w:pPr>
        <w:jc w:val="left"/>
      </w:pPr>
      <w:r>
        <w:t>3.3 Brandschutzrechtliche Beurteilung des Elterncafés bei einer Nutzung außerhalb der Betreuungszeiten der Kindertagesstätte.</w:t>
      </w:r>
    </w:p>
    <w:p>
      <w:pPr>
        <w:jc w:val="left"/>
      </w:pPr>
      <w:r>
        <w:t>3.4 Umfang und Ausstattung der Freianlagen sowie deren Entwässerung.</w:t>
      </w:r>
    </w:p>
    <w:p>
      <w:pPr>
        <w:jc w:val="left"/>
      </w:pPr>
      <w:r>
        <w:t>3.5 Barrierefreiheit der Rettungswege und der inneren Erschließung.</w:t>
      </w:r>
    </w:p>
    <w:p>
      <w:pPr>
        <w:jc w:val="left"/>
      </w:pPr>
      <w:r>
        <w:t>3.6 Bedingungen des Fördermittelgebers, insbesondere die verbindliche Kostenobergrenze und die Anforderungen an die Vergabedokumentation.</w:t>
      </w:r>
    </w:p>
    <w:p>
      <w:pPr>
        <w:jc w:val="left"/>
      </w:pPr>
      <w:r>
        <w:t>3.7 Anforderungen aus der späteren Betriebserlaubnis für die Kindertagesstätte.</w:t>
      </w:r>
    </w:p>
    <w:p>
      <w:pPr>
        <w:pStyle w:val="Heading2"/>
      </w:pPr>
      <w:r>
        <w:rPr>
          <w:rFonts w:ascii="Times New Roman" w:hAnsi="Times New Roman"/>
        </w:rPr>
        <w:t>4 Ortsbesichtigung vom 21.01.2026</w:t>
      </w:r>
    </w:p>
    <w:p>
      <w:pPr>
        <w:jc w:val="left"/>
      </w:pPr>
      <w:r>
        <w:t>Die Ortsbesichtigung wurde durchgeführt und fotografisch dokumentiert. Ein von allen Beteiligten abgestimmtes Ergebnisprotokoll wurde bislang nicht erstellt. Hinweise auf eine Auffüllung des Baugrundes im nordöstlichen Bereich des Grundstücks wurden mündlich erörtert, jedoch nicht schriftlich festgehalten. Ein Baugrundgutachten liegt noch nicht vor.</w:t>
      </w:r>
    </w:p>
    <w:p>
      <w:pPr>
        <w:pStyle w:val="Heading2"/>
      </w:pPr>
      <w:r>
        <w:rPr>
          <w:rFonts w:ascii="Times New Roman" w:hAnsi="Times New Roman"/>
        </w:rPr>
        <w:t>5 Nicht freigegebene Aussagen</w:t>
      </w:r>
    </w:p>
    <w:p>
      <w:pPr>
        <w:jc w:val="left"/>
      </w:pPr>
      <w:r>
        <w:t>Die Auftraggeberin hat im Auftaktgespräch mündlich erklärt, das Elterncafé könne notfalls kleiner ausfallen. Diese Aussage ist nicht protokollarisch bestätigt und nicht als planungsleitende Vorgabe freigegeben. Sie darf der weiteren Planung nicht ohne schriftliche Bestätigung zugrunde gelegt werden.</w:t>
      </w:r>
    </w:p>
    <w:p>
      <w:pPr>
        <w:pStyle w:val="Heading2"/>
      </w:pPr>
      <w:r>
        <w:rPr>
          <w:rFonts w:ascii="Times New Roman" w:hAnsi="Times New Roman"/>
        </w:rPr>
        <w:t>6 Bewertung und offene Frage zur Leistungsabgrenzung</w:t>
      </w:r>
    </w:p>
    <w:p>
      <w:pPr>
        <w:jc w:val="left"/>
      </w:pPr>
      <w:r>
        <w:t>Die Grundlagenermittlung ist im Kern erbracht. Zur sauberen Fortführung fehlen jedoch das abgestimmte Ergebnisprotokoll und die schriftliche Klärung der unter Ziffer 3 genannten Bedarfslücken.</w:t>
      </w:r>
    </w:p>
    <w:p>
      <w:pPr>
        <w:jc w:val="left"/>
      </w:pPr>
      <w:r>
        <w:t>Offen ist bereits hier die Frage, ob die spätere Koordination des von einem gesonderten Sachverständigen zu erstellenden Brandschutznachweises noch zur Grundleistung der Objektplanung gehört oder als Besondere Leistung gesondert zu vergüten ist. Nach dem Leistungsbild der Anlage 10 zur HOAI ist die Koordination und Integration der Beiträge fachlich Beteiligter Grundleistung; die eigenständige Erstellung eines Brandschutzkonzepts ist es nicht. Diese Abgrenzung ist im weiteren Verlauf konsequent zu beachten.</w:t>
      </w:r>
    </w:p>
    <w:p>
      <w:pPr>
        <w:pStyle w:val="Heading2"/>
      </w:pPr>
      <w:r>
        <w:rPr>
          <w:rFonts w:ascii="Times New Roman" w:hAnsi="Times New Roman"/>
        </w:rPr>
        <w:t>7 Nächste Schritte</w:t>
      </w:r>
    </w:p>
    <w:p>
      <w:pPr>
        <w:jc w:val="left"/>
      </w:pPr>
      <w:r>
        <w:t>7.1 Erstellung und Abstimmung eines Ergebnisprotokolls der Ortsbesichtigung.</w:t>
      </w:r>
    </w:p>
    <w:p>
      <w:pPr>
        <w:jc w:val="left"/>
      </w:pPr>
      <w:r>
        <w:t>7.2 Beauftragung eines Baugrundgutachtens durch die Auftraggeberin.</w:t>
      </w:r>
    </w:p>
    <w:p>
      <w:pPr>
        <w:jc w:val="left"/>
      </w:pPr>
      <w:r>
        <w:t>7.3 Schriftliche Klärung der Fördermittelbedingungen und der Kostenobergrenze.</w:t>
      </w:r>
    </w:p>
    <w:p>
      <w:pPr>
        <w:jc w:val="left"/>
      </w:pPr>
      <w:r>
        <w:t>Berlin, den 28.01.2026</w:t>
      </w:r>
    </w:p>
    <w:p>
      <w:pPr>
        <w:jc w:val="left"/>
      </w:pPr>
      <w:r>
        <w:t>gez. Katrin Westarp</w:t>
      </w:r>
    </w:p>
    <w:p>
      <w:pPr>
        <w:jc w:val="left"/>
      </w:pPr>
      <w:r>
        <w:t>Formathinweis: Dieses Dokument ist für die Ausgabe in Times New Roman, 11 pt, mit dezimaler Gliederung bestimmt.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Atelier Westarp und Partner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ATELIER WESTARP UND PARTNER MBB</w:t>
    </w:r>
  </w:p>
  <w:p>
    <w:pPr>
      <w:jc w:val="left"/>
      <w:pBdr>
        <w:bottom w:val="single" w:sz="8" w:space="2" w:color="11555F"/>
      </w:pBdr>
    </w:pPr>
    <w:r>
      <w:rPr>
        <w:rFonts w:ascii="Times New Roman" w:hAnsi="Times New Roman"/>
        <w:color w:val="6B6B66"/>
        <w:sz w:val="16"/>
      </w:rPr>
      <w:t>Architektinnen und Architekten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