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Bieterspiegel und Vergabevermerk - Leistungsphase 7</w:t>
      </w:r>
    </w:p>
    <w:p>
      <w:pPr>
        <w:jc w:val="left"/>
      </w:pPr>
      <w:r>
        <w:t>Atelier Westarp und Partner mbB, Architektinnen und Architekten</w:t>
      </w:r>
    </w:p>
    <w:p>
      <w:pPr>
        <w:jc w:val="left"/>
      </w:pPr>
      <w:r>
        <w:t>Gontardstraße 14, 10178 Berlin</w:t>
      </w:r>
    </w:p>
    <w:p>
      <w:pPr>
        <w:jc w:val="left"/>
      </w:pPr>
      <w:r>
        <w:t>Projekt: Neubau Kindertagesstätte Mühlenhof, Barnetstraße 22, 12305 Berlin-Lichtenrade</w:t>
      </w:r>
    </w:p>
    <w:p>
      <w:pPr>
        <w:jc w:val="left"/>
      </w:pPr>
      <w:r>
        <w:t>Vergabevermerk zur Angebotswertung, Stand 08.06.2026</w:t>
      </w:r>
    </w:p>
    <w:p>
      <w:pPr>
        <w:pStyle w:val="Heading2"/>
      </w:pPr>
      <w:r>
        <w:rPr>
          <w:rFonts w:ascii="Times New Roman" w:hAnsi="Times New Roman"/>
        </w:rPr>
        <w:t>1 Gegenstand und Grundlagen</w:t>
      </w:r>
    </w:p>
    <w:p>
      <w:pPr>
        <w:jc w:val="left"/>
      </w:pPr>
      <w:r>
        <w:t>Dieser Vergabevermerk dokumentiert die Mitwirkung bei der Vergabe nach § 34 HOAI 2021 in Verbindung mit Anlage 10 (Leistungsphase 7). Er umfasst die Prüfung und Wertung der eingegangenen Angebote für die Lose Rohbau, Holzfassade, technische Gebäudeausrüstung und Außenanlagen sowie den Vergabevorschlag. Grundlage der Preise ist die Leistungsverzeichnis- und Mengendokumentation der Datei 07.</w:t>
      </w:r>
    </w:p>
    <w:p>
      <w:pPr>
        <w:jc w:val="left"/>
      </w:pPr>
      <w:r>
        <w:t>Der Fördermittelgeber verlangt eine dokumentierte Angebotsprüfung und eine nachvollziehbare Begründung der Vergabeentscheidung, insbesondere für den Fall, dass nicht das preislich niedrigste Angebot beauftragt wird.</w:t>
      </w:r>
    </w:p>
    <w:p>
      <w:pPr>
        <w:pStyle w:val="Heading2"/>
      </w:pPr>
      <w:r>
        <w:rPr>
          <w:rFonts w:ascii="Times New Roman" w:hAnsi="Times New Roman"/>
        </w:rPr>
        <w:t>2 Bieterspiegel</w:t>
      </w:r>
    </w:p>
    <w:p>
      <w:pPr>
        <w:pStyle w:val="Heading3"/>
      </w:pPr>
      <w:r>
        <w:rPr>
          <w:rFonts w:ascii="Times New Roman" w:hAnsi="Times New Roman"/>
        </w:rPr>
        <w:t>2.1 Los 01 - Rohbau</w:t>
      </w:r>
    </w:p>
    <w:p>
      <w:pPr>
        <w:jc w:val="left"/>
      </w:pPr>
      <w:r>
        <w:t>Zum Rohbau liegen drei Angebote vor. Das preislich niedrigste Angebot der Bauunion Süd GmbH über 1.720.000 EUR enthält ein Nebenangebot zur Gründung, das ohne prüffähige technische Beschreibung eingereicht wurde. Die beiden weiteren Angebote liegen bei 1.795.000 EUR und 1.848.000 EUR.</w:t>
      </w:r>
    </w:p>
    <w:p>
      <w:pPr>
        <w:pStyle w:val="Heading3"/>
      </w:pPr>
      <w:r>
        <w:rPr>
          <w:rFonts w:ascii="Times New Roman" w:hAnsi="Times New Roman"/>
        </w:rPr>
        <w:t>2.2 Los 02 - Holzfassade</w:t>
      </w:r>
    </w:p>
    <w:p>
      <w:pPr>
        <w:jc w:val="left"/>
      </w:pPr>
      <w:r>
        <w:t>Zur Holzfassade liegen nur zwei Angebote vor. Das günstigere Angebot über 735.000 EUR steht unter dem Vorbehalt "Brandschutzdetails nach Aufwand" und ist damit in der entscheidenden Position nicht abschließend kalkuliert. Das zweite Angebot liegt bei 812.000 EUR.</w:t>
      </w:r>
    </w:p>
    <w:p>
      <w:pPr>
        <w:pStyle w:val="Heading3"/>
      </w:pPr>
      <w:r>
        <w:rPr>
          <w:rFonts w:ascii="Times New Roman" w:hAnsi="Times New Roman"/>
        </w:rPr>
        <w:t>2.3 Los 03 - Technische Gebäudeausrüstung</w:t>
      </w:r>
    </w:p>
    <w:p>
      <w:pPr>
        <w:jc w:val="left"/>
      </w:pPr>
      <w:r>
        <w:t>Zur technischen Gebäudeausrüstung liegen drei Angebote vor, deren günstigstes bei 1.320.000 EUR liegt. Das Ingenieurbüro Kalthoff weist darauf hin, dass die Bieter die Küchenlüftung unterschiedlich verstanden haben, sodass die Angebote nicht unmittelbar vergleichbar sind. Kalthoff empfiehlt ein Aufklärungs- und Verhandlungsgespräch.</w:t>
      </w:r>
    </w:p>
    <w:p>
      <w:pPr>
        <w:pStyle w:val="Heading3"/>
      </w:pPr>
      <w:r>
        <w:rPr>
          <w:rFonts w:ascii="Times New Roman" w:hAnsi="Times New Roman"/>
        </w:rPr>
        <w:t>2.4 Los 04 - Außenanlagen</w:t>
      </w:r>
    </w:p>
    <w:p>
      <w:pPr>
        <w:jc w:val="left"/>
      </w:pPr>
      <w:r>
        <w:t>Zu den Außenanlagen liegen zwei Angebote vor, deren günstigstes bei 545.000 EUR liegt. Die Angebote sind im Grundsatz vergleichbar; offen ist der Anschluss der Entwässerungsrinne an die vorhandenen Höhen.</w:t>
      </w:r>
    </w:p>
    <w:p>
      <w:pPr>
        <w:pStyle w:val="Heading2"/>
      </w:pPr>
      <w:r>
        <w:rPr>
          <w:rFonts w:ascii="Times New Roman" w:hAnsi="Times New Roman"/>
        </w:rPr>
        <w:t>3 Wertungsmatrix</w:t>
      </w:r>
    </w:p>
    <w:p>
      <w:pPr>
        <w:pStyle w:val="Heading3"/>
      </w:pPr>
      <w:r>
        <w:rPr>
          <w:rFonts w:ascii="Times New Roman" w:hAnsi="Times New Roman"/>
        </w:rPr>
        <w:t>3.1 Wertungskriterien</w:t>
      </w:r>
    </w:p>
    <w:p>
      <w:pPr>
        <w:jc w:val="left"/>
      </w:pPr>
      <w:r>
        <w:t>Die Angebote werden nach den Kriterien Preis (Gewichtung 60 vom Hundert), technische Vollständigkeit und Prüffähigkeit (Gewichtung 25 vom Hundert) sowie Ausführungsrisiko (Gewichtung 15 vom Hundert) bewertet. Je Kriterium werden bis zu 100 Punkte vergeben; die gewichtete Gesamtpunktzahl entscheidet.</w:t>
      </w:r>
    </w:p>
    <w:p>
      <w:pPr>
        <w:pStyle w:val="Heading3"/>
      </w:pPr>
      <w:r>
        <w:rPr>
          <w:rFonts w:ascii="Times New Roman" w:hAnsi="Times New Roman"/>
        </w:rPr>
        <w:t>3.2 Wertungsergebnis der jeweils führenden Angebote</w:t>
      </w:r>
    </w:p>
    <w:p>
      <w:pPr>
        <w:jc w:val="left"/>
      </w:pPr>
      <w:r>
        <w:t>3.2.1 Los 01 Rohbau, Bauunion Süd GmbH: Preis 92 Punkte, Vollständigkeit 60 Punkte, Risiko 55 Punkte; gewichtet 55,2 plus 15,0 plus 8,25 gleich 78,45 Punkte.</w:t>
      </w:r>
    </w:p>
    <w:p>
      <w:pPr>
        <w:jc w:val="left"/>
      </w:pPr>
      <w:r>
        <w:t>3.2.2 Los 02 Holzfassade, führendes Angebot: Preis 88 Punkte, Vollständigkeit 45 Punkte, Risiko 40 Punkte; gewichtet 52,8 plus 11,25 plus 6,0 gleich 70,05 Punkte.</w:t>
      </w:r>
    </w:p>
    <w:p>
      <w:pPr>
        <w:jc w:val="left"/>
      </w:pPr>
      <w:r>
        <w:t>3.2.3 Los 03 technische Gebäudeausrüstung, führendes Angebot: Preis 85 Punkte, Vollständigkeit 55 Punkte, Risiko 50 Punkte; gewichtet 51,0 plus 13,75 plus 7,5 gleich 72,25 Punkte.</w:t>
      </w:r>
    </w:p>
    <w:p>
      <w:pPr>
        <w:jc w:val="left"/>
      </w:pPr>
      <w:r>
        <w:t>3.2.4 Los 04 Außenanlagen, führendes Angebot: Preis 90 Punkte, Vollständigkeit 75 Punkte, Risiko 70 Punkte; gewichtet 54,0 plus 18,75 plus 10,5 gleich 83,25 Punkte.</w:t>
      </w:r>
    </w:p>
    <w:p>
      <w:pPr>
        <w:pStyle w:val="Heading3"/>
      </w:pPr>
      <w:r>
        <w:rPr>
          <w:rFonts w:ascii="Times New Roman" w:hAnsi="Times New Roman"/>
        </w:rPr>
        <w:t>3.3 Bewertung der Matrix</w:t>
      </w:r>
    </w:p>
    <w:p>
      <w:pPr>
        <w:jc w:val="left"/>
      </w:pPr>
      <w:r>
        <w:t>Das preislich niedrigste Angebot erreicht nicht in jedem Los die höchste gewichtete Punktzahl. Insbesondere im Los 01 und im Los 02 ziehen die eingeschränkte Prüffähigkeit des Nebenangebots und der Brandschutzvorbehalt die Bewertung deutlich nach unten.</w:t>
      </w:r>
    </w:p>
    <w:p>
      <w:pPr>
        <w:pStyle w:val="Heading2"/>
      </w:pPr>
      <w:r>
        <w:rPr>
          <w:rFonts w:ascii="Times New Roman" w:hAnsi="Times New Roman"/>
        </w:rPr>
        <w:t>4 Vergabevorschlag</w:t>
      </w:r>
    </w:p>
    <w:p>
      <w:pPr>
        <w:pStyle w:val="Heading3"/>
      </w:pPr>
      <w:r>
        <w:rPr>
          <w:rFonts w:ascii="Times New Roman" w:hAnsi="Times New Roman"/>
        </w:rPr>
        <w:t>4.1 Los 01 Rohbau</w:t>
      </w:r>
    </w:p>
    <w:p>
      <w:pPr>
        <w:jc w:val="left"/>
      </w:pPr>
      <w:r>
        <w:t>Die Beauftragung der Bauunion Süd GmbH wird empfohlen, jedoch ohne das nicht prüffähige Nebenangebot zur Gründung. Das Nebenangebot ist mangels prüffähiger Beschreibung nicht wertbar; die Gründung ist auf Grundlage des Hauptangebots und des noch ausstehenden Baugrundgutachtens auszuführen.</w:t>
      </w:r>
    </w:p>
    <w:p>
      <w:pPr>
        <w:pStyle w:val="Heading3"/>
      </w:pPr>
      <w:r>
        <w:rPr>
          <w:rFonts w:ascii="Times New Roman" w:hAnsi="Times New Roman"/>
        </w:rPr>
        <w:t>4.2 Los 02 Holzfassade</w:t>
      </w:r>
    </w:p>
    <w:p>
      <w:pPr>
        <w:jc w:val="left"/>
      </w:pPr>
      <w:r>
        <w:t>Eine Beauftragung wird erst nach Aufklärung des Brandschutzdetails empfohlen. Solange die Position "Brandschutzdetails nach Aufwand" nicht auskalkuliert ist, besteht ein unkalkuliertes Kostenrisiko.</w:t>
      </w:r>
    </w:p>
    <w:p>
      <w:pPr>
        <w:pStyle w:val="Heading3"/>
      </w:pPr>
      <w:r>
        <w:rPr>
          <w:rFonts w:ascii="Times New Roman" w:hAnsi="Times New Roman"/>
        </w:rPr>
        <w:t>4.3 Los 03 technische Gebäudeausrüstung</w:t>
      </w:r>
    </w:p>
    <w:p>
      <w:pPr>
        <w:jc w:val="left"/>
      </w:pPr>
      <w:r>
        <w:t>Vor einer Beauftragung ist das von Kalthoff empfohlene Aufklärungsgespräch zu führen, damit alle Bieter die Küchenlüftung einheitlich anbieten.</w:t>
      </w:r>
    </w:p>
    <w:p>
      <w:pPr>
        <w:pStyle w:val="Heading3"/>
      </w:pPr>
      <w:r>
        <w:rPr>
          <w:rFonts w:ascii="Times New Roman" w:hAnsi="Times New Roman"/>
        </w:rPr>
        <w:t>4.4 Los 04 Außenanlagen</w:t>
      </w:r>
    </w:p>
    <w:p>
      <w:pPr>
        <w:jc w:val="left"/>
      </w:pPr>
      <w:r>
        <w:t>Die Beauftragung des führenden Angebots wird empfohlen; der Entwässerungsanschluss ist vor Ausführung abzustimmen.</w:t>
      </w:r>
    </w:p>
    <w:p>
      <w:pPr>
        <w:pStyle w:val="Heading2"/>
      </w:pPr>
      <w:r>
        <w:rPr>
          <w:rFonts w:ascii="Times New Roman" w:hAnsi="Times New Roman"/>
        </w:rPr>
        <w:t>5 Kosten- und Förderbezug</w:t>
      </w:r>
    </w:p>
    <w:p>
      <w:pPr>
        <w:jc w:val="left"/>
      </w:pPr>
      <w:r>
        <w:t>Die Summe der günstigsten Angebote der bepreisten Lose beträgt 4.320.000 EUR und liegt damit 330.000 EUR über dem Ansatz der Kostenberechnung für diese Lose (3.990.000 EUR). Diese Drift ist in den Kostenanschlag der Datei 04 eingeflossen und der Auftraggeberin sowie dem Fördermittelgeber offenzulegen. Die Begründung der Vergabeentscheidung ist zur Förderakte zu nehmen.</w:t>
      </w:r>
    </w:p>
    <w:p>
      <w:pPr>
        <w:pStyle w:val="Heading2"/>
      </w:pPr>
      <w:r>
        <w:rPr>
          <w:rFonts w:ascii="Times New Roman" w:hAnsi="Times New Roman"/>
        </w:rPr>
        <w:t>6 Verfahrensstand</w:t>
      </w:r>
    </w:p>
    <w:p>
      <w:pPr>
        <w:jc w:val="left"/>
      </w:pPr>
      <w:r>
        <w:t>Der Vergabevorschlag ist noch nicht durch die Auftraggeberin gezeichnet. Bis zur Zeichnung dürfen keine verbindlichen Beauftragungen ausgesprochen werden.</w:t>
      </w:r>
    </w:p>
    <w:p>
      <w:pPr>
        <w:jc w:val="left"/>
      </w:pPr>
      <w:r>
        <w:t>Berlin, den 08.06.2026</w:t>
      </w:r>
    </w:p>
    <w:p>
      <w:pPr>
        <w:jc w:val="left"/>
      </w:pPr>
      <w:r>
        <w:t>gez. Katrin Westarp</w:t>
      </w:r>
    </w:p>
    <w:p>
      <w:pPr>
        <w:jc w:val="left"/>
      </w:pPr>
      <w:r>
        <w:t>Formathinweis: Dieses Dokument ist für die Ausgabe in Times New Roman, 11 pt, mit dezimaler Gliederung bestimmt.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Atelier Westarp und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ATELIER WESTARP UND PARTNER MBB</w:t>
    </w:r>
  </w:p>
  <w:p>
    <w:pPr>
      <w:jc w:val="left"/>
      <w:pBdr>
        <w:bottom w:val="single" w:sz="8" w:space="2" w:color="11555F"/>
      </w:pBdr>
    </w:pPr>
    <w:r>
      <w:rPr>
        <w:rFonts w:ascii="Times New Roman" w:hAnsi="Times New Roman"/>
        <w:color w:val="6B6B66"/>
        <w:sz w:val="16"/>
      </w:rPr>
      <w:t>Architektinnen und Architekten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