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Objektbetreuung und Gewährleistungsplan - Leistungsphase 9</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Vorbereitender Vermerk zur Objektbetreuung, Stand 20.06.2026</w:t>
      </w:r>
    </w:p>
    <w:p>
      <w:pPr>
        <w:pStyle w:val="Heading2"/>
      </w:pPr>
      <w:r>
        <w:rPr>
          <w:rFonts w:ascii="Times New Roman" w:hAnsi="Times New Roman"/>
        </w:rPr>
        <w:t>1 Zweck des Vermerks</w:t>
      </w:r>
    </w:p>
    <w:p>
      <w:pPr>
        <w:jc w:val="left"/>
      </w:pPr>
      <w:r>
        <w:t>Die Leistungsphase 9 (Objektbetreuung) nach § 34 HOAI 2021 in Verbindung mit Anlage 10 ist bislang nicht beauftragt. Dieser Vermerk bereitet die anstehenden Aufgaben vor und stellt klar, welche Leistungen erst nach gesonderter schriftlicher Beauftragung erbracht werden. Er dient zugleich der Abgrenzung gegenüber der noch laufenden Bauüberwachung der Leistungsphase 8.</w:t>
      </w:r>
    </w:p>
    <w:p>
      <w:pPr>
        <w:pStyle w:val="Heading2"/>
      </w:pPr>
      <w:r>
        <w:rPr>
          <w:rFonts w:ascii="Times New Roman" w:hAnsi="Times New Roman"/>
        </w:rPr>
        <w:t>2 Aufgaben der Objektbetreuung</w:t>
      </w:r>
    </w:p>
    <w:p>
      <w:pPr>
        <w:pStyle w:val="Heading3"/>
      </w:pPr>
      <w:r>
        <w:rPr>
          <w:rFonts w:ascii="Times New Roman" w:hAnsi="Times New Roman"/>
        </w:rPr>
        <w:t>2.1 Gewährleistungsfristen</w:t>
      </w:r>
    </w:p>
    <w:p>
      <w:pPr>
        <w:jc w:val="left"/>
      </w:pPr>
      <w:r>
        <w:t>Die Verjährungsfristen für Mängelansprüche sind bauteil- und gewerkebezogen zu erfassen. Für Bauwerke beträgt die regelmäßige Verjährungsfrist für Mängelansprüche fünf Jahre; für einzelne Gewerke und Anlagen können abweichende vertragliche Fristen gelten, die gesondert zu dokumentieren sind.</w:t>
      </w:r>
    </w:p>
    <w:p>
      <w:pPr>
        <w:pStyle w:val="Heading3"/>
      </w:pPr>
      <w:r>
        <w:rPr>
          <w:rFonts w:ascii="Times New Roman" w:hAnsi="Times New Roman"/>
        </w:rPr>
        <w:t>2.2 Begehung vor Ablauf der Verjährung</w:t>
      </w:r>
    </w:p>
    <w:p>
      <w:pPr>
        <w:jc w:val="left"/>
      </w:pPr>
      <w:r>
        <w:t>Vor Ablauf der jeweiligen Verjährungsfrist ist eine Objektbegehung durchzuführen, um verdeckte Mängel rechtzeitig festzustellen und die Verjährung durch geeignete Maßnahmen zu hemmen.</w:t>
      </w:r>
    </w:p>
    <w:p>
      <w:pPr>
        <w:pStyle w:val="Heading3"/>
      </w:pPr>
      <w:r>
        <w:rPr>
          <w:rFonts w:ascii="Times New Roman" w:hAnsi="Times New Roman"/>
        </w:rPr>
        <w:t>2.3 Wartungsverträge</w:t>
      </w:r>
    </w:p>
    <w:p>
      <w:pPr>
        <w:jc w:val="left"/>
      </w:pPr>
      <w:r>
        <w:t>Für die Lüftungsanlage der Quartiersküche und die Photovoltaikanlage sind Wartungsverträge abzuschließen und zu überwachen, damit Gewährleistungsansprüche nicht durch unterlassene Wartung entfallen.</w:t>
      </w:r>
    </w:p>
    <w:p>
      <w:pPr>
        <w:pStyle w:val="Heading3"/>
      </w:pPr>
      <w:r>
        <w:rPr>
          <w:rFonts w:ascii="Times New Roman" w:hAnsi="Times New Roman"/>
        </w:rPr>
        <w:t>2.4 Mängeltracking</w:t>
      </w:r>
    </w:p>
    <w:p>
      <w:pPr>
        <w:jc w:val="left"/>
      </w:pPr>
      <w:r>
        <w:t>Die aus der Leistungsphase 8 offenen Mängel (siehe Datei 10, Mängelliste M-01 bis M-03) sind in ein fortlaufendes Mängeltracking zu überführen und bis zur Beseitigung nachzuhalten.</w:t>
      </w:r>
    </w:p>
    <w:p>
      <w:pPr>
        <w:pStyle w:val="Heading3"/>
      </w:pPr>
      <w:r>
        <w:rPr>
          <w:rFonts w:ascii="Times New Roman" w:hAnsi="Times New Roman"/>
        </w:rPr>
        <w:t>2.5 Nutzerbeschwerden</w:t>
      </w:r>
    </w:p>
    <w:p>
      <w:pPr>
        <w:jc w:val="left"/>
      </w:pPr>
      <w:r>
        <w:t>Beschwerden aus dem laufenden Kita-Betrieb sind daraufhin zu bewerten, ob ihnen ein Gewährleistungsmangel zugrunde liegt, und gegebenenfalls den verantwortlichen Unternehmen anzuzeigen.</w:t>
      </w:r>
    </w:p>
    <w:p>
      <w:pPr>
        <w:pStyle w:val="Heading3"/>
      </w:pPr>
      <w:r>
        <w:rPr>
          <w:rFonts w:ascii="Times New Roman" w:hAnsi="Times New Roman"/>
        </w:rPr>
        <w:t>2.6 Dokumentation der Abnahmen</w:t>
      </w:r>
    </w:p>
    <w:p>
      <w:pPr>
        <w:jc w:val="left"/>
      </w:pPr>
      <w:r>
        <w:t>Die förmlichen Abnahmen der Gewerke sind vollständig zu dokumentieren, weil an sie der Beginn der Verjährung und die Beweislastverteilung anknüpfen.</w:t>
      </w:r>
    </w:p>
    <w:p>
      <w:pPr>
        <w:pStyle w:val="Heading2"/>
      </w:pPr>
      <w:r>
        <w:rPr>
          <w:rFonts w:ascii="Times New Roman" w:hAnsi="Times New Roman"/>
        </w:rPr>
        <w:t>3 Risiko der nicht beauftragten Leistungsphase 9</w:t>
      </w:r>
    </w:p>
    <w:p>
      <w:pPr>
        <w:jc w:val="left"/>
      </w:pPr>
      <w:r>
        <w:t>Solange die Leistungsphase 9 nicht gesondert schriftlich beauftragt ist, schuldet die Auftragnehmerin keine Überwachung der Gewährleistungsfristen. Es besteht das Risiko, dass die Auftraggeberin gleichwohl darauf vertraut, die Auftragnehmerin überwache sämtliche Fristen. Dieses Missverständnis ist vertraglich und organisatorisch aufzulösen, bevor die erste Verjährungsfrist zu laufen beginnt.</w:t>
      </w:r>
    </w:p>
    <w:p>
      <w:pPr>
        <w:pStyle w:val="Heading2"/>
      </w:pPr>
      <w:r>
        <w:rPr>
          <w:rFonts w:ascii="Times New Roman" w:hAnsi="Times New Roman"/>
        </w:rPr>
        <w:t>4 Empfehlung</w:t>
      </w:r>
    </w:p>
    <w:p>
      <w:pPr>
        <w:pStyle w:val="Heading3"/>
      </w:pPr>
      <w:r>
        <w:rPr>
          <w:rFonts w:ascii="Times New Roman" w:hAnsi="Times New Roman"/>
        </w:rPr>
        <w:t>4.1 Klarstellung des Leistungsstands</w:t>
      </w:r>
    </w:p>
    <w:p>
      <w:pPr>
        <w:jc w:val="left"/>
      </w:pPr>
      <w:r>
        <w:t>Der Auftraggeberin ist schriftlich mitzuteilen, dass die Objektbetreuung nicht Gegenstand des laufenden Auftrags ist und ohne gesonderte Beauftragung nicht erbracht wird.</w:t>
      </w:r>
    </w:p>
    <w:p>
      <w:pPr>
        <w:pStyle w:val="Heading3"/>
      </w:pPr>
      <w:r>
        <w:rPr>
          <w:rFonts w:ascii="Times New Roman" w:hAnsi="Times New Roman"/>
        </w:rPr>
        <w:t>4.2 Entscheidung über die Beauftragung</w:t>
      </w:r>
    </w:p>
    <w:p>
      <w:pPr>
        <w:jc w:val="left"/>
      </w:pPr>
      <w:r>
        <w:t>Die Auftraggeberin sollte kurzfristig entscheiden, ob sie die Leistungsphase 9 beauftragt. Auf die Leistungsphase 9 entfällt nach der Honorarermittlung ein Teilhonorar von 9.240 EUR (netto); dieser Betrag steht dem Risiko unbeobachteter Gewährleistungsfristen gegenüber.</w:t>
      </w:r>
    </w:p>
    <w:p>
      <w:pPr>
        <w:pStyle w:val="Heading3"/>
      </w:pPr>
      <w:r>
        <w:rPr>
          <w:rFonts w:ascii="Times New Roman" w:hAnsi="Times New Roman"/>
        </w:rPr>
        <w:t>4.3 Übergabe der Unterlagen</w:t>
      </w:r>
    </w:p>
    <w:p>
      <w:pPr>
        <w:jc w:val="left"/>
      </w:pPr>
      <w:r>
        <w:t>Unabhängig von der Beauftragung sind die für die Fristüberwachung erforderlichen Unterlagen (Abnahmeprotokolle, Mängelliste, Fristenübersicht) geordnet zu übergeben, damit die Auftraggeberin die Fristen notfalls selbst wahren kann.</w:t>
      </w:r>
    </w:p>
    <w:p>
      <w:pPr>
        <w:jc w:val="left"/>
      </w:pPr>
      <w:r>
        <w:t>Berlin, den 20.06.2026</w:t>
      </w:r>
    </w:p>
    <w:p>
      <w:pPr>
        <w:jc w:val="left"/>
      </w:pPr>
      <w:r>
        <w:t>gez. Katrin Westarp</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