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Anwaltliches Prüfmemo - HOAI-Leistungsphasen, Honorar und Bauüberwachung Kita Mühlenhof</w:t>
      </w:r>
    </w:p>
    <w:p>
      <w:pPr>
        <w:jc w:val="left"/>
      </w:pPr>
      <w:r>
        <w:t>Kanzlei Brägelmann Rechtsanwälte, Berlin</w:t>
      </w:r>
    </w:p>
    <w:p>
      <w:pPr>
        <w:jc w:val="left"/>
      </w:pPr>
      <w:r>
        <w:t>Mandantin: Mühlenhof Bildung gemeinnützige GmbH</w:t>
      </w:r>
    </w:p>
    <w:p>
      <w:pPr>
        <w:jc w:val="left"/>
      </w:pPr>
      <w:r>
        <w:t>Bearbeiter: RA Dr. T. Brägelmann</w:t>
      </w:r>
    </w:p>
    <w:p>
      <w:pPr>
        <w:jc w:val="left"/>
      </w:pPr>
      <w:r>
        <w:t>Datum: 06.07.2026</w:t>
      </w:r>
    </w:p>
    <w:p>
      <w:pPr>
        <w:jc w:val="left"/>
      </w:pPr>
      <w:r>
        <w:t>Interner Vermerk - anwaltliche Schweigepflicht</w:t>
      </w:r>
    </w:p>
    <w:p>
      <w:pPr>
        <w:pStyle w:val="Heading2"/>
      </w:pPr>
      <w:r>
        <w:rPr>
          <w:rFonts w:ascii="Times New Roman" w:hAnsi="Times New Roman"/>
        </w:rPr>
        <w:t>1 Sachverhalt</w:t>
      </w:r>
    </w:p>
    <w:p>
      <w:pPr>
        <w:jc w:val="left"/>
      </w:pPr>
      <w:r>
        <w:t>Die Mandantin errichtet in Berlin-Lichtenrade eine Kindertagesstätte mit sechsundneunzig Plätzen, Quartiersküche, Bewegungsraum, Elterncafé und Dachbegrünung. Mit Vertrag vom 17.01.2026 hat sie das Atelier Westarp und Partner mbB mit der Objektplanung beauftragt. Die Beauftragung erfolgt in Stufen: verbindlich die Leistungsphasen 1 bis 3, optional die Leistungsphasen 4 bis 8 nach gesondertem schriftlichem Abruf, die Leistungsphase 9 nur nach gesondertem Bedarf.</w:t>
      </w:r>
    </w:p>
    <w:p>
      <w:pPr>
        <w:jc w:val="left"/>
      </w:pPr>
      <w:r>
        <w:t>Die anrechenbaren Kosten belaufen sich nach der Kostenberechnung zur Leistungsphase 3 auf 3.950.000 EUR (Kostengruppen 300 und 400). Die Parteien haben für die Leistungsphasen 1 bis 9 ein Grundhonorar von 462.000 EUR (netto) in der Honorarzone III vereinbart. Der Fördermittelbescheid setzt eine Kostenobergrenze von 4.500.000 EUR (netto) und die vollständige Dokumentation der Vergabe voraus.</w:t>
      </w:r>
    </w:p>
    <w:p>
      <w:pPr>
        <w:jc w:val="left"/>
      </w:pPr>
      <w:r>
        <w:t>Tatsächlich hat die Architektin über die Stufe 1 hinaus die Genehmigungs-, Ausführungs- und Vergabeleistungen erbracht und die Bauüberwachung begonnen; eine schriftliche Abruferklärung der Mandantin für die Stufe 2 findet sich nicht in der Akte. Auf der Baustelle sind Planungslücken (Gründung Nord-Ost, Kollision Küchenlüftung mit Unterzug), ein Nachtrag ohne Anordnung (N-07 über 38.400 EUR) und ein ungeklärtes Brandschutzdetail der Holzfassade aufgetreten. Die Kosten sind von der Kostenschätzung (4.390.000 EUR) über die Kostenberechnung (5.230.000 EUR) bis zum Kostenanschlag (5.580.000 EUR) gestiegen und überschreiten die Obergrenze. Die Architektin verlangt mit Nachtragsangebot vom 15.06.2026 ein Zusatzhonorar für die Koordination des Brandschutznachweises und die Mengenermittlung der technischen Gebäudeausrüstung.</w:t>
      </w:r>
    </w:p>
    <w:p>
      <w:pPr>
        <w:pStyle w:val="Heading2"/>
      </w:pPr>
      <w:r>
        <w:rPr>
          <w:rFonts w:ascii="Times New Roman" w:hAnsi="Times New Roman"/>
        </w:rPr>
        <w:t>2 Fragen</w:t>
      </w:r>
    </w:p>
    <w:p>
      <w:pPr>
        <w:jc w:val="left"/>
      </w:pPr>
      <w:r>
        <w:t>2.1 Welcher Honoraranteil ist bei dem erreichten Leistungsstand zwischen Leistungsphase 5 und 8 verdient?</w:t>
      </w:r>
    </w:p>
    <w:p>
      <w:pPr>
        <w:jc w:val="left"/>
      </w:pPr>
      <w:r>
        <w:t>2.2 Sind die Leistungsphasen 4 bis 8 wirksam beauftragt, obwohl eine schriftliche Abruferklärung fehlt?</w:t>
      </w:r>
    </w:p>
    <w:p>
      <w:pPr>
        <w:jc w:val="left"/>
      </w:pPr>
      <w:r>
        <w:t>2.3 Handelt es sich bei der Koordination des Brandschutznachweises und der Mengenermittlung der technischen Gebäudeausrüstung um bereits vergütete Grundleistungen oder um gesondert zu vergütende Besondere Leistungen?</w:t>
      </w:r>
    </w:p>
    <w:p>
      <w:pPr>
        <w:jc w:val="left"/>
      </w:pPr>
      <w:r>
        <w:t>2.4 Wie sind der Nachtrag N-07, die Mängel und die Kostenüberschreitung rechtlich zu behandeln?</w:t>
      </w:r>
    </w:p>
    <w:p>
      <w:pPr>
        <w:pStyle w:val="Heading2"/>
      </w:pPr>
      <w:r>
        <w:rPr>
          <w:rFonts w:ascii="Times New Roman" w:hAnsi="Times New Roman"/>
        </w:rPr>
        <w:t>3 Kurzantwort</w:t>
      </w:r>
    </w:p>
    <w:p>
      <w:pPr>
        <w:jc w:val="left"/>
      </w:pPr>
      <w:r>
        <w:t>Bei dem erreichten Leistungsstand (Leistungsphasen 1 bis 7 vollständig, Leistungsphase 8 zu 40 vom Hundert) ist ein Honorar von 364.056 EUR (netto) verdient; das geltend gemachte Zusatzhonorar für Koordination und Mengenermittlung steht der Architektin nicht zu, weil es sich um abgegoltene Grundleistungen handelt.</w:t>
      </w:r>
    </w:p>
    <w:p>
      <w:pPr>
        <w:pStyle w:val="Heading2"/>
      </w:pPr>
      <w:r>
        <w:rPr>
          <w:rFonts w:ascii="Times New Roman" w:hAnsi="Times New Roman"/>
        </w:rPr>
        <w:t>4 Rechtliche Bewertung (Gutachtenstil)</w:t>
      </w:r>
    </w:p>
    <w:p>
      <w:pPr>
        <w:pStyle w:val="Heading3"/>
      </w:pPr>
      <w:r>
        <w:rPr>
          <w:rFonts w:ascii="Times New Roman" w:hAnsi="Times New Roman"/>
        </w:rPr>
        <w:t>4.1 Vertragstyp und Honorargrundlagen</w:t>
      </w:r>
    </w:p>
    <w:p>
      <w:pPr>
        <w:jc w:val="left"/>
      </w:pPr>
      <w:r>
        <w:t>Der Vertrag vom 17.01.2026 ist ein Architektenvertrag im Sinne der §§ 650p ff. BGB und damit ein Werkvertrag. Das Honorar bestimmt sich nach § 632 BGB in Verbindung mit der als Preisrecht vereinbarten HOAI 2021. Da die Parteien eine Honorarzone (III), die Anwendung des Basishonorarsatzes und ein bezifferte Grundhonorar vereinbart haben, ist die Honorarhöhe dem Grunde nach unstreitig; streitig sind Umfang und Stand der beauftragten Leistungen.</w:t>
      </w:r>
    </w:p>
    <w:p>
      <w:pPr>
        <w:jc w:val="left"/>
      </w:pPr>
      <w:r>
        <w:t>Die anrechenbaren Kosten sind nach § 6 HOAI 2021 aus der Kostenberechnung zu ermitteln. Maßgeblich ist damit der Wert von 3.950.000 EUR aus der Leistungsphase 3, nicht der spätere, höhere Kostenanschlag. Die Kostensteigerung auf der Baustelle erhöht das Honorar nicht selbsttätig; eine Anpassung setzt eine geänderte, von der Mandantin anerkannte Kostenberechnung voraus (Ziffer 3.3 des Vertrages).</w:t>
      </w:r>
    </w:p>
    <w:p>
      <w:pPr>
        <w:pStyle w:val="Heading3"/>
      </w:pPr>
      <w:r>
        <w:rPr>
          <w:rFonts w:ascii="Times New Roman" w:hAnsi="Times New Roman"/>
        </w:rPr>
        <w:t>4.2 Verdientes Honorar bei erreichtem Leistungsstand (Datenauswertungs-Kern)</w:t>
      </w:r>
    </w:p>
    <w:p>
      <w:pPr>
        <w:jc w:val="left"/>
      </w:pPr>
      <w:r>
        <w:t xml:space="preserve">Das Grundhonorar von 462.000 EUR verteilt sich nach den Vomhundertsätzen des § 34 Absatz 3 HOAI 2021 auf die Leistungsphasen. Die Aufteilung ergibt sich rechnerisch aus der Anlage </w:t>
      </w:r>
      <w:r>
        <w:t>honorarberechnung_hoai_zonen.csv</w:t>
      </w:r>
      <w:r>
        <w:t xml:space="preserve"> und ist wie folgt:</w:t>
      </w:r>
    </w:p>
    <w:p>
      <w:pPr>
        <w:jc w:val="left"/>
      </w:pPr>
      <w:r>
        <w:t>4.2.1 Leistungsphasen 1 bis 3 (2 plus 7 plus 15 gleich 24 vom Hundert): 110.880 EUR.</w:t>
      </w:r>
    </w:p>
    <w:p>
      <w:pPr>
        <w:jc w:val="left"/>
      </w:pPr>
      <w:r>
        <w:t>4.2.2 Leistungsphase 4 (3 vom Hundert): 13.860 EUR.</w:t>
      </w:r>
    </w:p>
    <w:p>
      <w:pPr>
        <w:jc w:val="left"/>
      </w:pPr>
      <w:r>
        <w:t>4.2.3 Leistungsphase 5 (25 vom Hundert): 115.500 EUR.</w:t>
      </w:r>
    </w:p>
    <w:p>
      <w:pPr>
        <w:jc w:val="left"/>
      </w:pPr>
      <w:r>
        <w:t>4.2.4 Leistungsphase 6 (10 vom Hundert): 46.200 EUR.</w:t>
      </w:r>
    </w:p>
    <w:p>
      <w:pPr>
        <w:jc w:val="left"/>
      </w:pPr>
      <w:r>
        <w:t>4.2.5 Leistungsphase 7 (4 vom Hundert): 18.480 EUR.</w:t>
      </w:r>
    </w:p>
    <w:p>
      <w:pPr>
        <w:jc w:val="left"/>
      </w:pPr>
      <w:r>
        <w:t>4.2.6 Leistungsphase 8 (32 vom Hundert): 147.840 EUR.</w:t>
      </w:r>
    </w:p>
    <w:p>
      <w:pPr>
        <w:jc w:val="left"/>
      </w:pPr>
      <w:r>
        <w:t>4.2.7 Leistungsphase 9 (2 vom Hundert): 9.240 EUR.</w:t>
      </w:r>
    </w:p>
    <w:p>
      <w:pPr>
        <w:jc w:val="left"/>
      </w:pPr>
      <w:r>
        <w:t>Nach den Baustellenprotokollen (Datei 09, Ziffer 4.2.2) sind die Leistungsphasen 1 bis 7 vollständig erbracht; das entspricht 66 vom Hundert des Grundhonorars und damit 304.920 EUR. Die Leistungsphase 8 ist zu 40 vom Hundert erbracht; das ergibt aus dem Teilhonorar von 147.840 EUR einen verdienten Anteil von 59.136 EUR. Insgesamt ist damit ein Honorar von 364.056 EUR (netto) verdient.</w:t>
      </w:r>
    </w:p>
    <w:p>
      <w:pPr>
        <w:jc w:val="left"/>
      </w:pPr>
      <w:r>
        <w:t>Dieser Betrag ist zugleich die Obergrenze eines berechtigten Abschlagsverlangens. Für die noch nicht erbrachten 60 vom Hundert der Leistungsphase 8 (88.704 EUR) besteht ein Zahlungsanspruch erst nach Leistung; im Fall einer freien Kündigung nach § 648 BGB wären insoweit die ersparten Aufwendungen abzuziehen.</w:t>
      </w:r>
    </w:p>
    <w:p>
      <w:pPr>
        <w:pStyle w:val="Heading3"/>
      </w:pPr>
      <w:r>
        <w:rPr>
          <w:rFonts w:ascii="Times New Roman" w:hAnsi="Times New Roman"/>
        </w:rPr>
        <w:t>4.3 Wirksamer Abruf der Leistungsphasen 4 bis 8</w:t>
      </w:r>
    </w:p>
    <w:p>
      <w:pPr>
        <w:jc w:val="left"/>
      </w:pPr>
      <w:r>
        <w:t>Nach Ziffer 2.2 des Vertrages bedarf die Stufe 2 eines gesonderten schriftlichen Abrufs. Ein solcher liegt nicht in der Akte. Zu prüfen ist, ob die Stufe 2 gleichwohl beauftragt ist.</w:t>
      </w:r>
    </w:p>
    <w:p>
      <w:pPr>
        <w:jc w:val="left"/>
      </w:pPr>
      <w:r>
        <w:t>Ein ausdrücklicher schriftlicher Abruf fehlt. In Betracht kommt jedoch ein konkludenter Abruf oder eine Beauftragung durch schlüssiges Verhalten. Die Mandantin hat die von der Architektin erbrachten Genehmigungs-, Ausführungs-, Vergabe- und Bauüberwachungsleistungen über Monate entgegengenommen, an den Jour-fixe-Terminen teilgenommen und die Leistungen nicht zurückgewiesen. Darin liegt regelmäßig eine konkludente Beauftragung, weil die Mandantin den Wert der Leistungen für sich in Anspruch genommen hat. Das vertragliche Schriftformerfordernis dient hier der Klarstellung und steht einer konkludenten Beauftragung nicht zwingend entgegen, wenn die Parteien das Formerfordernis einvernehmlich nicht eingehalten haben.</w:t>
      </w:r>
    </w:p>
    <w:p>
      <w:pPr>
        <w:jc w:val="left"/>
      </w:pPr>
      <w:r>
        <w:t>Die Auffassung der Mandantin, die Bauüberwachung sei bereits mit der Stufe 1 pauschal mitbeauftragt, ist demgegenüber nicht tragfähig: Die Stufe 1 umfasst nach Ziffer 2.2 nur die Leistungsphasen 1 bis 3; die Bauüberwachung ist die Leistungsphase 8 und damit Teil der Stufe 2. Ergebnis: Die Leistungsphasen 4 bis 8 sind nach der wahrscheinlicheren Bewertung konkludent beauftragt; das Honorar der Stufe 2 (341.880 EUR) ist dem Grunde nach geschuldet, soweit die Leistungen erbracht sind. Die Mandantin sollte den Abruf und den Leistungsstand gleichwohl schriftlich klarstellen, um weiteren Streit zu vermeiden.</w:t>
      </w:r>
    </w:p>
    <w:p>
      <w:pPr>
        <w:pStyle w:val="Heading3"/>
      </w:pPr>
      <w:r>
        <w:rPr>
          <w:rFonts w:ascii="Times New Roman" w:hAnsi="Times New Roman"/>
        </w:rPr>
        <w:t>4.4 Grundleistung oder Besondere Leistung (Diskrepanz-Auflösung)</w:t>
      </w:r>
    </w:p>
    <w:p>
      <w:pPr>
        <w:jc w:val="left"/>
      </w:pPr>
      <w:r>
        <w:t>Die Architektin macht mit Nachtragsangebot vom 15.06.2026 ein Zusatzhonorar für die Koordination des Brandschutznachweises und die Mengenermittlung der technischen Gebäudeausrüstung geltend und ordnet beides als Besondere Leistung ein. Zu prüfen ist, ob diese Leistungen bereits mit dem Grundhonorar abgegolten sind.</w:t>
      </w:r>
    </w:p>
    <w:p>
      <w:pPr>
        <w:jc w:val="left"/>
      </w:pPr>
      <w:r>
        <w:t>Nach § 3 Absatz 2 HOAI 2021 sind die Grundleistungen in den Leistungsbildern erfasst; Besondere Leistungen sind nach § 3 Absatz 3 HOAI 2021 nur bei gesonderter schriftlicher Vereinbarung zu vergüten.</w:t>
      </w:r>
    </w:p>
    <w:p>
      <w:pPr>
        <w:jc w:val="left"/>
      </w:pPr>
      <w:r>
        <w:t>4.4.1 Koordination des Brandschutznachweises. Das Koordinieren und Integrieren der Beiträge fachlich Beteiligter ist nach dem Leistungsbild der Anlage 10 zur HOAI in mehreren Leistungsphasen (insbesondere den Leistungsphasen 2, 3 und 5) ausdrücklich Grundleistung der Objektplanung. Das Einbinden des von einem gesonderten Sachverständigen erstellten Brandschutznachweises in die Planung ist damit eine abgegoltene Grundleistung. Ein Zusatzhonorar besteht nicht. Etwas anderes gälte nur, wenn die Architektin das Brandschutzkonzept selbst als eigenständige Fachplanung erstellt hätte; das ist nicht der Fall, weil hierfür der Brandschutzsachverständige Herr Hentschel beauftragt ist.</w:t>
      </w:r>
    </w:p>
    <w:p>
      <w:pPr>
        <w:jc w:val="left"/>
      </w:pPr>
      <w:r>
        <w:t>4.4.2 Mengenermittlung der technischen Gebäudeausrüstung. Das Ermitteln und Zusammenstellen von Mengen als Grundlage für das Aufstellen der Leistungsverzeichnisse ist nach dem Leistungsbild der Anlage 10 zur HOAI der Leistungsphase 6 zugeordnete Grundleistung. Auch hierfür besteht kein Anspruch auf ein Zusatzhonorar.</w:t>
      </w:r>
    </w:p>
    <w:p>
      <w:pPr>
        <w:jc w:val="left"/>
      </w:pPr>
      <w:r>
        <w:t>Ergebnis: Das geltend gemachte Zusatzhonorar steht der Architektin nicht zu. Die Leistungen sind Grundleistungen und mit dem Teilhonorar der jeweiligen Leistungsphase abgegolten.</w:t>
      </w:r>
    </w:p>
    <w:p>
      <w:pPr>
        <w:pStyle w:val="Heading3"/>
      </w:pPr>
      <w:r>
        <w:rPr>
          <w:rFonts w:ascii="Times New Roman" w:hAnsi="Times New Roman"/>
        </w:rPr>
        <w:t>4.5 Nachtrag N-07, Mängel und Bauzeit</w:t>
      </w:r>
    </w:p>
    <w:p>
      <w:pPr>
        <w:jc w:val="left"/>
      </w:pPr>
      <w:r>
        <w:t>4.5.1 Nachtrag N-07. Der in den Rohbau-Abschlag 3 eingestellte Nachtrag über 38.400 EUR für die Baugrundanpassung ist ohne schriftliche Anordnung, ohne geprüften Nachtragsansatz und ohne Abgrenzung zu den Sowieso-Kosten geltend gemacht. Ein Vergütungsanspruch des Bauunternehmens setzt eine Anordnung und einen prüffähigen Nachtragsansatz voraus. Bis zur Vorlage ist die Position in der Rechnungsprüfung zu Recht ausgesetzt (Datei 10). Zu klären ist zudem, ob die Baugrundanpassung ohnehin geschuldet war (Sowieso-Kosten); insoweit besteht kein Mehrvergütungsanspruch.</w:t>
      </w:r>
    </w:p>
    <w:p>
      <w:pPr>
        <w:jc w:val="left"/>
      </w:pPr>
      <w:r>
        <w:t>4.5.2 Mängel. Die Mängelliste M-01 bis M-03 (Datei 10) ist nach Gewerken zu ordnen und von den offenen Planungsfragen zu trennen. Planungsfehler dürfen nicht als Bauausführungsmängel in der Rechnungsprüfung verschwinden. Für die brandschutztechnisch nicht freigegebene Musterfläche (M-02) ist eine Freigabe zu verweigern, bis das nachweiskonforme Befestigungsdetail vorliegt.</w:t>
      </w:r>
    </w:p>
    <w:p>
      <w:pPr>
        <w:jc w:val="left"/>
      </w:pPr>
      <w:r>
        <w:t>4.5.3 Bauzeit und Vertragsstrafe. Der verbindliche Fertigstellungstermin der Ausführungsplanung (30.04.2026) ist überschritten; der Planstand datiert vom 04.05.2026. Ein Vertragsstrafenanspruch nach Ziffer 4.2 des Vertrages setzt jedoch ein Vertretenmüssen der Architektin voraus. Soweit die Verzögerung auf dem fehlenden, von der Mandantin zu veranlassenden Baugrundgutachten und auf nicht rechtzeitig getroffenen Bauherrenentscheidungen beruht, ist ein Vertretenmüssen zweifelhaft. Der Vorbehalt der Vertragsstrafe müsste zudem spätestens bei Abnahme erklärt werden.</w:t>
      </w:r>
    </w:p>
    <w:p>
      <w:pPr>
        <w:pStyle w:val="Heading2"/>
      </w:pPr>
      <w:r>
        <w:rPr>
          <w:rFonts w:ascii="Times New Roman" w:hAnsi="Times New Roman"/>
        </w:rPr>
        <w:t>5 Gesamtergebnis</w:t>
      </w:r>
    </w:p>
    <w:p>
      <w:pPr>
        <w:jc w:val="left"/>
      </w:pPr>
      <w:r>
        <w:t>Bei dem erreichten Leistungsstand ist ein Honorar von 364.056 EUR (netto) verdient. Die Leistungsphasen 4 bis 8 sind nach der wahrscheinlicheren Bewertung konkludent beauftragt. Das geltend gemachte Zusatzhonorar für Koordination und Mengenermittlung steht der Architektin nicht zu, weil es sich um abgegoltene Grundleistungen handelt. Der Nachtrag N-07 ist ohne Anordnung und prüffähigen Ansatz nicht fällig; die Kostenüberschreitung erhöht das Honorar nicht.</w:t>
      </w:r>
    </w:p>
    <w:p>
      <w:pPr>
        <w:pStyle w:val="Heading2"/>
      </w:pPr>
      <w:r>
        <w:rPr>
          <w:rFonts w:ascii="Times New Roman" w:hAnsi="Times New Roman"/>
        </w:rPr>
        <w:t>6 Risiken und offene Punkte</w:t>
      </w:r>
    </w:p>
    <w:p>
      <w:pPr>
        <w:jc w:val="left"/>
      </w:pPr>
      <w:r>
        <w:t>6.1 Der konkludente Abruf der Stufe 2 ist eine Auslegungsfrage; ein schriftlicher Abruf ist nachzuholen.</w:t>
      </w:r>
    </w:p>
    <w:p>
      <w:pPr>
        <w:jc w:val="left"/>
      </w:pPr>
      <w:r>
        <w:t>6.2 Der Leistungsstand der Leistungsphase 8 (40 vom Hundert) ist aus den Protokollen abgeleitet und sollte durch einen Leistungsstandsnachweis untermauert werden.</w:t>
      </w:r>
    </w:p>
    <w:p>
      <w:pPr>
        <w:jc w:val="left"/>
      </w:pPr>
      <w:r>
        <w:t>6.3 Die Abgrenzung des Nachtrags N-07 zu den Sowieso-Kosten ist tatsächlich zu klären.</w:t>
      </w:r>
    </w:p>
    <w:p>
      <w:pPr>
        <w:jc w:val="left"/>
      </w:pPr>
      <w:r>
        <w:t>6.4 Die Kostenüberschreitung kann eigene Schadensersatzfragen auslösen, wenn die Kostenobergrenze als Beschaffenheit vereinbart und schuldhaft verfehlt wurde; das ist gesondert zu prüfen.</w:t>
      </w:r>
    </w:p>
    <w:p>
      <w:pPr>
        <w:jc w:val="left"/>
      </w:pPr>
      <w:r>
        <w:t>6.5 Die Beauftragung oder der ausdrückliche Ausschluss der Leistungsphase 9 ist zu entscheiden, um die Überwachung der Gewährleistungsfristen zu klären.</w:t>
      </w:r>
    </w:p>
    <w:p>
      <w:pPr>
        <w:pStyle w:val="Heading2"/>
      </w:pPr>
      <w:r>
        <w:rPr>
          <w:rFonts w:ascii="Times New Roman" w:hAnsi="Times New Roman"/>
        </w:rPr>
        <w:t>7 Quellenverzeichnis</w:t>
      </w:r>
    </w:p>
    <w:p>
      <w:pPr>
        <w:jc w:val="left"/>
      </w:pPr>
      <w:r>
        <w:t>7.1 HOAI 2021, insbesondere §§ 3, 6, 34, 35 und Anlage 10.</w:t>
      </w:r>
    </w:p>
    <w:p>
      <w:pPr>
        <w:jc w:val="left"/>
      </w:pPr>
      <w:r>
        <w:t>7.2 BGB, insbesondere §§ 631, 632, 634, 634a, 640, 648, 650p bis 650t.</w:t>
      </w:r>
    </w:p>
    <w:p>
      <w:pPr>
        <w:jc w:val="left"/>
      </w:pPr>
      <w:r>
        <w:t xml:space="preserve">7.3 Aktenbestandteile: Datei 01 (Vertrag), Datei 04 (Kostenverfolgung), Datei 07 (Vergabe-Budgetdrift), Datei 09 (Baustellenprotokolle), Datei 10 (Mängel- und Rechnungsprüfung), Anlage </w:t>
      </w:r>
      <w:r>
        <w:t>honorarberechnung_hoai_zonen.csv</w:t>
      </w:r>
      <w:r>
        <w:t>.</w:t>
      </w:r>
    </w:p>
    <w:p>
      <w:pPr>
        <w:jc w:val="left"/>
      </w:pPr>
      <w:r>
        <w:t>7.4 Hinweis: Rechtsprechung ist nur nach Live-Verifikation mit Gericht, Entscheidungsform, Datum, Aktenzeichen und frei zugänglicher Fundstelle zu verwenden. Aus dem Modellwissen werden keine Aktenzeichen oder Fundstellen zitiert.</w:t>
      </w:r>
    </w:p>
    <w:p>
      <w:pPr>
        <w:jc w:val="left"/>
      </w:pPr>
      <w:r>
        <w:t>Formathinweis: Dieses Dokument ist für die Ausgabe in Times New Roman, 11 pt, mit dezimaler Gliederung bestimmt.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Kanzlei Brägelmann Rechtsanwälte</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1555F"/>
        <w:sz w:val="22"/>
      </w:rPr>
      <w:t>KANZLEI BRÄGELMANN RECHTSANWÄLTE</w:t>
    </w:r>
  </w:p>
  <w:p>
    <w:pPr>
      <w:jc w:val="left"/>
      <w:pBdr>
        <w:bottom w:val="single" w:sz="8" w:space="2" w:color="11555F"/>
      </w:pBdr>
    </w:pPr>
    <w:r>
      <w:rPr>
        <w:rFonts w:ascii="Times New Roman" w:hAnsi="Times New Roman"/>
        <w:color w:val="6B6B66"/>
        <w:sz w:val="16"/>
      </w:rPr>
      <w:t>Berlin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