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Vorberg + Steinhausen Rechtsanwaelte mbB - Insolvenzverwaltung ChainCortex AI GmbH, AG Charlottenburg 36 IN 1342/26</w:t>
      </w:r>
    </w:p>
    <w:p>
      <w:pPr>
        <w:pStyle w:val="Heading1"/>
      </w:pPr>
      <w:r>
        <w:t>Bestaetigungsschreiben an uebergehende Arbeitnehmer gemaess § 613a BGB</w:t>
      </w:r>
    </w:p>
    <w:p>
      <w:r>
        <w:t>Sammelschreiben vom 02.07.2026 an die zehn von Voracis Ventures GmbH uebernommenen Arbeitnehmer der ChainCortex AI GmbH (i.L.), mit Bestaetigung des Betriebsuebergangs zum 01.07.2026 sowie Belehrung ueber das Widerspruchsrecht gemaess § 613a Abs. 6 BGB.</w:t>
      </w:r>
    </w:p>
    <w:p>
      <w:r>
        <w:t>Zwei Arbeitnehmer (Frontend-Entwicklerin und eine Compliance-Analystin) haben mit Schreiben vom 08.07.2026 bzw. 10.07.2026 dem Betriebsuebergang widersprochen und verbleiben in der Insolvenzmasse; fuer diese wird betriebsbedingte Kuendigung durch den Insolvenzverwalter geprueft.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Steinhausen Rechtsanwaelte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2"/>
      </w:rPr>
      <w:t>STEINHAUSEN RECHTSANWAELTE MBB</w:t>
    </w:r>
  </w:p>
  <w:p>
    <w:pPr>
      <w:jc w:val="left"/>
      <w:pBdr>
        <w:bottom w:val="single" w:sz="8" w:space="2" w:color="8A6A1F"/>
      </w:pBdr>
    </w:pPr>
    <w:r>
      <w:rPr>
        <w:rFonts w:ascii="Times New Roman" w:hAnsi="Times New Roman"/>
        <w:color w:val="6B6B66"/>
        <w:sz w:val="16"/>
      </w:rPr>
      <w:t>AG Charlottenburg 36 IN 1342/26 · 36 IN 1342/26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