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Triplik der Beklagten</w:t>
      </w:r>
    </w:p>
    <w:p>
      <w:r>
        <w:t>An das Landgericht Chemnitz – Az. 5 O 233/26</w:t>
      </w:r>
    </w:p>
    <w:p>
      <w:r>
        <w:t>Die Beklagte bestreitet, dass der Restrukturierungsberater Dr. Feldkamp konkrete Zahlen aus dem Kurzgutachten mitgeteilt habe. Der Vermerk vom 03.11.2025 beziehe sich lediglich auf allgemeine Aussagen zur Marktentwicklung im Kunststoffsektor.</w:t>
      </w:r>
    </w:p>
    <w:p>
      <w:r>
        <w:t>Hilfsweise wird die Einholung eines Sachverstaendigengutachtens zur Frage beantragt, ob die drei streitigen Zahlungen tatsaechlich ausserhalb des fuer Bargeschaefte unschaedlichen Zeitraums lagen, da die Lieferungen in Teilchargen erfolgten und die Zuordnung streitig ist.</w:t>
      </w:r>
    </w:p>
    <w:p>
      <w:r>
        <w:t>Dr. Lennart Huesgen</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Lennart Huesgen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DR. LENNART HUESGEN</w:t>
    </w:r>
  </w:p>
  <w:p>
    <w:pPr>
      <w:jc w:val="left"/>
      <w:pBdr>
        <w:bottom w:val="single" w:sz="8" w:space="2" w:color="3B3F45"/>
      </w:pBdr>
    </w:pPr>
    <w:r>
      <w:rPr>
        <w:rFonts w:ascii="Times New Roman" w:hAnsi="Times New Roman"/>
        <w:color w:val="6B6B66"/>
        <w:sz w:val="16"/>
      </w:rPr>
      <w:t>01067 Dresden ·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