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Lennart Huesgen</w:t>
        <w:br/>
        <w:t>Waisenhausstrasse 4, 01067 Dresden</w:t>
      </w:r>
    </w:p>
    <w:p>
      <w:pPr>
        <w:pStyle w:val="Heading1"/>
      </w:pPr>
      <w:r>
        <w:t>Stellungnahme zum Sachverstaendigengutachten</w:t>
      </w:r>
    </w:p>
    <w:p>
      <w:r>
        <w:t>An das Landgericht Chemnitz – Az. 5 O 233/26</w:t>
      </w:r>
    </w:p>
    <w:p>
      <w:r>
        <w:t>Die Beklagte akzeptiert den Befund des Sachverstaendigen zu den drei abweichenden Zahlungen, haelt aber die Kenntnisfrage weiterhin fuer streitig. Angesichts des reduzierten Streitgegenstands (nunmehr EUR 61.200,00 statt urspruenglich EUR 184.500,00) regt die Beklagte eine vergleichsweise Erledigung an.</w:t>
      </w:r>
    </w:p>
    <w:p>
      <w:r>
        <w:t>Dr. Lennart Huesgen</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Lennart Huesgen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RECHTSANWALT DR. LENNART HUESGEN</w:t>
    </w:r>
  </w:p>
  <w:p>
    <w:pPr>
      <w:jc w:val="left"/>
      <w:pBdr>
        <w:bottom w:val="single" w:sz="8" w:space="2" w:color="3B3F45"/>
      </w:pBdr>
    </w:pPr>
    <w:r>
      <w:rPr>
        <w:rFonts w:ascii="Times New Roman" w:hAnsi="Times New Roman"/>
        <w:color w:val="6B6B66"/>
        <w:sz w:val="16"/>
      </w:rPr>
      <w:t>01067 Dresden · Az. 5 O 233/26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