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Chemnitz – 3. Zivilkammer</w:t>
        <w:br/>
        <w:t>Fuerstenstrasse 21, 09112 Chemnitz</w:t>
      </w:r>
    </w:p>
    <w:p>
      <w:pPr>
        <w:pStyle w:val="Heading1"/>
      </w:pPr>
      <w:r>
        <w:t>Beschluss ueber das Zustandekommen und den Inhalt des Vergleichs</w:t>
      </w:r>
    </w:p>
    <w:p>
      <w:r>
        <w:t>Az. 5 O 233/26</w:t>
      </w:r>
    </w:p>
    <w:p>
      <w:r>
        <w:t>Das Gericht stellt gemaess Paragraf 278 Absatz 6 ZPO fest, dass zwischen den Parteien ein Vergleich mit folgendem Inhalt zustande gekommen ist:</w:t>
      </w:r>
    </w:p>
    <w:p>
      <w:r>
        <w:t>1. Die Beklagte zahlt an die Klaegerin EUR 45.000,00 binnen vier Wochen nach Rechtskraft.</w:t>
      </w:r>
    </w:p>
    <w:p>
      <w:r>
        <w:t>2. Im Uebrigen sind alle wechselseitigen Ansprueche aus dem streitgegenstaendlichen Sachverhalt erledigt.</w:t>
      </w:r>
    </w:p>
    <w:p>
      <w:r>
        <w:t>3. Die Kosten des Rechtsstreits werden gegeneinander aufgehoben.</w:t>
      </w:r>
    </w:p>
    <w:p>
      <w:r>
        <w:t>Chemnitz, 22.12.2026</w:t>
        <w:br/>
        <w:t>Vorsitzender Richter am Landgericht Dr. Tobias Reichenbach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Chemnitz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Chemnitz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09112 Chemnitz · Az. 5 O 233/26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