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Ludwig Stadlbauer | Insolvenzverwalter | Regensburg</w:t>
      </w:r>
    </w:p>
    <w:p>
      <w:pPr>
        <w:pStyle w:val="Heading1"/>
      </w:pPr>
      <w:r>
        <w:t>Replik zur Klageerwiderung</w:t>
      </w:r>
    </w:p>
    <w:p>
      <w:r>
        <w:t>Landgericht Regensburg, Az. 2 O 987/26</w:t>
      </w:r>
    </w:p>
    <w:p>
      <w:pPr>
        <w:pStyle w:val="Heading2"/>
      </w:pPr>
      <w:r>
        <w:t>Erwiderung</w:t>
      </w:r>
    </w:p>
    <w:p>
      <w:r>
        <w:t>Die Nachbesicherungsklausel aus 2019 begruendete allenfalls einen schuldrechtlichen Anspruch auf Sicherheit, keine dingliche Sicherung; die tatsaechliche Bestellung der Sicherheit am 18.06.2025 ist der massgebliche Anfechtungszeitpunkt. Die Nettobetrachtung wird bestritten: Nach herrschender Rechtsprechung ist bei revolvierenden Kontokorrentverhaeltnissen im Rahmen des Paragraf 135 Abs. 1 Nr. 2 InsO auf den tatsaechlichen Saldenabbau im Jahreszeitraum abzustellen, hilfsweise wird der Anspruch auf den Saldenabbau von 640.000,00 EUR gestuetzt.</w:t>
      </w:r>
    </w:p>
    <w:p/>
    <w:p>
      <w:r>
        <w:t>Dr. Ludwig Stadlbauer, Rechtsanwalt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Rechtsanwalt Dr. Ludwig Stadlbauer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2"/>
      </w:rPr>
      <w:t>RECHTSANWALT DR. LUDWIG STADLBAUER</w:t>
    </w:r>
  </w:p>
  <w:p>
    <w:pPr>
      <w:jc w:val="left"/>
      <w:pBdr>
        <w:bottom w:val="single" w:sz="8" w:space="2" w:color="7B2D3B"/>
      </w:pBdr>
    </w:pPr>
    <w:r>
      <w:rPr>
        <w:rFonts w:ascii="Times New Roman" w:hAnsi="Times New Roman"/>
        <w:color w:val="6B6B66"/>
        <w:sz w:val="16"/>
      </w:rPr>
      <w:t>Rechtsanwaltskanzlei · Az. 2 O 987/26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