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Regensburg</w:t>
      </w:r>
    </w:p>
    <w:p>
      <w:pPr>
        <w:pStyle w:val="Heading1"/>
      </w:pPr>
      <w:r>
        <w:t>Urteil</w:t>
      </w:r>
    </w:p>
    <w:p>
      <w:r>
        <w:t>Az. 2 O 987/26</w:t>
      </w:r>
    </w:p>
    <w:p>
      <w:r>
        <w:t>verkuendet am 22.06.2027</w:t>
      </w:r>
    </w:p>
    <w:p>
      <w:pPr>
        <w:pStyle w:val="Heading2"/>
      </w:pPr>
      <w:r>
        <w:t>Tenor</w:t>
      </w:r>
    </w:p>
    <w:p>
      <w:r>
        <w:t>1. Die Beklagte wird verurteilt, an den Klaeger 640.000,00 EUR nebst Zinsen in Hoehe von 5 Prozentpunkten ueber dem Basiszinssatz seit dem 12.05.2026 zu zahlen.</w:t>
      </w:r>
    </w:p>
    <w:p>
      <w:r>
        <w:t>2. Die Beklagte wird verurteilt, den ihr sicherungsuebereigneten Maschinenpark laut Anlagenverzeichnis vom 16.06.2025 an den Klaeger herauszugeben.</w:t>
      </w:r>
    </w:p>
    <w:p>
      <w:r>
        <w:t>3. Die Beklagte traegt die Kosten des Rechtsstreits.</w:t>
      </w:r>
    </w:p>
    <w:p>
      <w:pPr>
        <w:pStyle w:val="Heading2"/>
      </w:pPr>
      <w:r>
        <w:t>Entscheidungsgruende</w:t>
      </w:r>
    </w:p>
    <w:p>
      <w:r>
        <w:t>Die Cash-Pool-Salden sind Gesellschafterdarlehen im Sinne des Paragraf 39 Abs. 1 Nr. 5 InsO; die Rueckfuehrung von 640.000,00 EUR im letzten Jahr vor Antragstellung ist nach Paragraf 135 Abs. 1 Nr. 2 InsO anfechtbar, ohne dass es auf Kenntnis ankommt. Die Sicherungsuebereignung vom 18.06.2025 ist nach Paragraf 135 Abs. 1 Nr. 1 InsO anfechtbar, da die tatsaechliche Bestellung der Sicherheit und nicht die schuldrechtliche Nachbesicherungsklausel von 2019 massgeblich ist. Die Rueckzahlung an den Mitgesellschafter Kastl bleibt demgegenueber unangefochten, da dieser als nicht geschaeftsfuehrender Gesellschafter mit 8 Prozent unter das Kleinbeteiligtenprivileg des Paragraf 39 Abs. 5 InsO faellt.</w:t>
      </w:r>
    </w:p>
    <w:p/>
    <w:p>
      <w:r>
        <w:t>Der Vorsitzende Richter am Landgericht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Regensburg</w:t>
    </w:r>
  </w:p>
  <w:p>
    <w:pPr>
      <w:jc w:val="left"/>
      <w:pBdr>
        <w:bottom w:val="single" w:sz="6" w:space="2" w:color="3B3F45"/>
      </w:pBdr>
    </w:pPr>
    <w:r>
      <w:rPr>
        <w:rFonts w:ascii="Times New Roman" w:hAnsi="Times New Roman"/>
        <w:color w:val="6B6B66"/>
        <w:sz w:val="16"/>
      </w:rPr>
      <w:t>Gericht · Az. 2 O 987/26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