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Jochen Appelt | Goettingen</w:t>
      </w:r>
    </w:p>
    <w:p>
      <w:pPr>
        <w:pStyle w:val="Heading1"/>
      </w:pPr>
      <w:r>
        <w:t>Klageerwiderung</w:t>
      </w:r>
    </w:p>
    <w:p>
      <w:r>
        <w:t>Landgericht Kassel, Az. 4 O 318/26</w:t>
      </w:r>
    </w:p>
    <w:p>
      <w:r>
        <w:t>in Sachen Dr. Salzwedel ./. Daemmtec Werra GmbH</w:t>
      </w:r>
    </w:p>
    <w:p>
      <w:pPr>
        <w:pStyle w:val="Heading2"/>
      </w:pPr>
      <w:r>
        <w:t>Antrag</w:t>
      </w:r>
    </w:p>
    <w:p>
      <w:r>
        <w:t>Die Klage wird abgewiesen.</w:t>
      </w:r>
    </w:p>
    <w:p>
      <w:pPr>
        <w:pStyle w:val="Heading2"/>
      </w:pPr>
      <w:r>
        <w:t>Begruendung</w:t>
      </w:r>
    </w:p>
    <w:p>
      <w:r>
        <w:t>Die Uebernahme des Warenlagers sei ueblicher Ausdruck einer Warenruecknahme im Baustoffhandel und keine inkongruente Deckung. Die objektive Zahlungsunfaehigkeit am 18.12.2025 werde bestritten; die Schuldnerin habe sich noch in einer beherrschbaren Uebergangsphase befunden. Eine Kenntnis der Beklagten von einer Glaeubigerbenachteiligung habe nicht bestanden; die interne E-Mail vom 09.12.2025 sei ueberzogen formuliert gewesen und spiegele nicht die tatsaechliche Einschaetzung wider. Hilfsweise wird der Bargeschaefts-Einwand nach Paragraf 142 InsO erhoben, da eine Wiederbelieferungszusage erteilt worden sei.</w:t>
      </w:r>
    </w:p>
    <w:p/>
    <w:p>
      <w:r>
        <w:t>Dr. Jochen Appelt, 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Jochen Appelt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RECHTSANWALT DR. JOCHEN APPELT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 · Az. 4 O 318/26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