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Salzwedel | Insolvenzverwalterin | Kassel</w:t>
      </w:r>
    </w:p>
    <w:p>
      <w:pPr>
        <w:pStyle w:val="Heading1"/>
      </w:pPr>
      <w:r>
        <w:t>Schlussvermerk zur Handakte</w:t>
      </w:r>
    </w:p>
    <w:p>
      <w:r>
        <w:t>Insolvenzverfahren Fuldablick Baustoffhandel GmbH, Az. 660 IN 71/26</w:t>
      </w:r>
    </w:p>
    <w:p>
      <w:r>
        <w:t>Vermerk vom 16.08.2027</w:t>
      </w:r>
    </w:p>
    <w:p>
      <w:pPr>
        <w:pStyle w:val="Heading2"/>
      </w:pPr>
      <w:r>
        <w:t>Zusammenfassung</w:t>
      </w:r>
    </w:p>
    <w:p>
      <w:r>
        <w:t>Das Urteil des Landgerichts Kassel vom 21.06.2027 (Az. 4 O 318/26) ist seit dem 26.07.2027 rechtskraeftig. Die Beklagte hat die titulierte Summe von 142.370,00 EUR nebst Zinsen am 10.08.2027 vollstaendig zur Masse gezahlt. Nach Paragraf 144 Abs. 1 InsO lebt die urspruengliche Lieferantenforderung der Beklagten in Hoehe von 118.000,00 EUR wieder auf und wurde zur Insolvenztabelle angemeldet.</w:t>
      </w:r>
    </w:p>
    <w:p>
      <w:pPr>
        <w:pStyle w:val="Heading2"/>
      </w:pPr>
      <w:r>
        <w:t>Bewertung</w:t>
      </w:r>
    </w:p>
    <w:p>
      <w:r>
        <w:t>Der Fall bestaetigt, dass eine Leistung an Erfuellungs statt eine inkongruente Deckung darstellt und dass die objektive Zahlungsunfaehigkeit nach Paragraf 131 Abs. 1 Nr. 2 InsO unabhaengig von einer Kenntnis des Anfechtungsgegners zur Anfechtbarkeit fuehrt.</w:t>
      </w:r>
    </w:p>
    <w:p/>
    <w:p>
      <w:r>
        <w:t>Dr. Friederike Salzwedel, Insolvenzverwalterin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Insolvenzverfahren Fuldablick Baustoffhandel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Insolvenzverfahren Fuldablick Baustoffhandel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Az. 660 IN 71/26 · Az. 660 IN 71/26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