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Berlin, Kammer fuer Handelssachen</w:t>
      </w:r>
    </w:p>
    <w:p>
      <w:pPr>
        <w:pStyle w:val="Heading1"/>
      </w:pPr>
      <w:r>
        <w:t>Beweisbeschluss</w:t>
      </w:r>
    </w:p>
    <w:p>
      <w:r>
        <w:t>94 O 47/26</w:t>
      </w:r>
    </w:p>
    <w:p/>
    <w:p>
      <w:r>
        <w:t>In dem Rechtsstreit Dr. Gesa Trux ./. Dr. Valentin Brosekamp</w:t>
      </w:r>
    </w:p>
    <w:p/>
    <w:p>
      <w:r>
        <w:t>beschliesst das Gericht:</w:t>
      </w:r>
    </w:p>
    <w:p>
      <w:r>
        <w:t>1. Es wird Beweis erhoben durch Vernehmung des Zeugen Jonas Wittkamp, Geschaeftsfuehrer der Schuldnerin, zu der Behauptung, dem Beklagten sei die Liquiditaetslage der Schuldnerin bereits im August 2025 durch den Wochenreport sowie durch Aeusserungen im Gruender-Chat bekannt gewesen.</w:t>
      </w:r>
    </w:p>
    <w:p>
      <w:r>
        <w:t>2. Es wird ferner Beweis erhoben durch Einholung eines ergaenzenden schriftlichen Sachverstaendigengutachtens zu der Behauptung, dass die im Gutachten des Eroeffnungsverfahrens festgestellten Stichtage der Ueberschuldung (30.06.2025) und der Zahlungsunfaehigkeit (01.09.2025) zutreffend ermittelt wurden.</w:t>
      </w:r>
    </w:p>
    <w:p>
      <w:r>
        <w:t>3. Zur Sachverstaendigen wird bestellt: Dipl.-Kffr. Nadja Ohlerich, Berlin.</w:t>
      </w:r>
    </w:p>
    <w:p>
      <w:r>
        <w:t>4. Termin zur Zeugenvernehmung wird bestimmt auf den 04.03.2027, 09:30 Uhr.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Berlin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Berlin</w:t>
    </w:r>
  </w:p>
  <w:p>
    <w:pPr>
      <w:jc w:val="left"/>
      <w:pBdr>
        <w:bottom w:val="single" w:sz="6" w:space="2" w:color="3B3F45"/>
      </w:pBdr>
    </w:pPr>
    <w:r>
      <w:rPr>
        <w:rFonts w:ascii="Times New Roman" w:hAnsi="Times New Roman"/>
        <w:color w:val="6B6B66"/>
        <w:sz w:val="16"/>
      </w:rPr>
      <w:t>Kammer fuer Handelssachen · 94 O 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