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Rechtsanwaeltin Dr. Ilka Bernstorf | Insolvenzverwalterin | Mainz</w:t>
      </w:r>
    </w:p>
    <w:p>
      <w:pPr>
        <w:pStyle w:val="Heading1"/>
      </w:pPr>
      <w:r>
        <w:t>Klageschrift — LG Mainz</w:t>
      </w:r>
    </w:p>
    <w:p>
      <w:r>
        <w:t>Landgericht Mainz</w:t>
      </w:r>
    </w:p>
    <w:p>
      <w:r>
        <w:t>Klaegerin: Dr. Ilka Bernstorf als Insolvenzverwalterin ueber das Vermoegen der Domblick Weinkellerei-Betriebs-GmbH</w:t>
      </w:r>
    </w:p>
    <w:p>
      <w:r>
        <w:t>Beklagte: Sparkasse Weinbergland Mainz, Anstalt des oeffentlichen Rechts</w:t>
      </w:r>
    </w:p>
    <w:p>
      <w:pPr>
        <w:pStyle w:val="Heading2"/>
      </w:pPr>
      <w:r>
        <w:t>Antrag</w:t>
      </w:r>
    </w:p>
    <w:p>
      <w:r>
        <w:t>Die Beklagte wird verurteilt, an die Klaegerin 360.000,00 EUR nebst Zinsen in Hoehe von 5 Prozentpunkten ueber dem Basiszinssatz seit dem 01.05.2026 zu zahlen.</w:t>
      </w:r>
    </w:p>
    <w:p>
      <w:pPr>
        <w:pStyle w:val="Heading2"/>
      </w:pPr>
      <w:r>
        <w:t>Sachverhalt</w:t>
      </w:r>
    </w:p>
    <w:p>
      <w:r>
        <w:t>Nach fruchtlosem Ablauf der mit Schreiben vom 26.06.2026 gesetzten Frist zum 17.07.2026 wird die mit Anfechtungsschreiben vom 12.05.2026 geltend gemachte Rueckgewaehr nach Paragrafen 130, 131, 143 InsO nunmehr klageweise verfolgt. Die Beklagte hat im Dreimonatszeitraum vor dem Eigenantrag die Kontokorrentlinie in drei Schritten von 480.000,00 EUR auf 120.000,00 EUR herabgesetzt und Zahlungseingaenge in Hoehe von 476.100,00 EUR zur Saldenreduzierung vereinnahmt, waehrend nur 116.100,00 EUR an Verfuegungen zugelassen wurden. Der Verrechnungssaldo von 360.000,00 EUR ist zurueckzugewaehren.</w:t>
      </w:r>
    </w:p>
    <w:p>
      <w:pPr>
        <w:pStyle w:val="Heading2"/>
      </w:pPr>
      <w:r>
        <w:t>Rechtliche Wuerdigung</w:t>
      </w:r>
    </w:p>
    <w:p>
      <w:r>
        <w:t>Die Rueckfuehrung stellt eine inkongruente Deckung gemaess Paragraf 131 Abs. 1 InsO dar, da die endgueltige Vereinnahmung erst auf den im Dreimonatszeitraum abgeschlossenen Anpassungsvereinbarungen beruht. Die Beklagte hatte aufgrund der eigenen Kontodaten (17 Ruecklastschriften seit April 2025, zwei Scheckrueckgaben, zwei Kontopfaendungen, ausgereizte Linie, Intensivbetreuungsvermerk vom 24.11.2025) Kenntnis von der Zahlungsunfaehigkeit im Sinne des Paragraf 130 Abs. 2 InsO.</w:t>
      </w:r>
    </w:p>
    <w:p/>
    <w:p>
      <w:r>
        <w:t>Dr. Ilka Bernstorf, Rechtsanwaeltin</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Mainz</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Mainz</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