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Cammann &amp; Weyrich Rechtsanwaelte | Wiesbaden</w:t>
      </w:r>
    </w:p>
    <w:p>
      <w:pPr>
        <w:pStyle w:val="Heading1"/>
      </w:pPr>
      <w:r>
        <w:t>Klageerwiderung</w:t>
      </w:r>
    </w:p>
    <w:p>
      <w:r>
        <w:t>Landgericht Mainz, Az. 8 O 214/26</w:t>
      </w:r>
    </w:p>
    <w:p>
      <w:r>
        <w:t>in Sachen Dr. Bernstorf ./. Sparkasse Weinbergland Mainz</w:t>
      </w:r>
    </w:p>
    <w:p>
      <w:pPr>
        <w:pStyle w:val="Heading2"/>
      </w:pPr>
      <w:r>
        <w:t>Antrag</w:t>
      </w:r>
    </w:p>
    <w:p>
      <w:r>
        <w:t>Die Klage wird abgewiesen.</w:t>
      </w:r>
    </w:p>
    <w:p>
      <w:pPr>
        <w:pStyle w:val="Heading2"/>
      </w:pPr>
      <w:r>
        <w:t>Begruendung</w:t>
      </w:r>
    </w:p>
    <w:p>
      <w:r>
        <w:t>Die Anpassungsvereinbarungen beruhen auf einvernehmlicher Vertragsaenderung im Rahmen der laufenden Geschaeftsbeziehung; die AGB-Verrechnungsbefugnis nach Paragraf 355 HGB begruendet Kongruenz. Die Linienherabsetzung sei durch saisonale Umsatzschwankungen im Weinhandel veranlasst gewesen, wie sie in den Vorjahren regelmaessig aufgetreten sei. Eine Kenntnis von der Zahlungsunfaehigkeit wird bestritten; die Ruecklastschriften seien vereinzelte technische Vorgaenge gewesen. Hilfsweise wird der Bargeschaeftseinwand nach Paragraf 142 InsO erhoben, da die Beklagte die Betriebsfortfuehrung durch Belassung der Restlinie von 120.000,00 EUR ermoeglicht habe.</w:t>
      </w:r>
    </w:p>
    <w:p/>
    <w:p>
      <w:r>
        <w:t>Dr. Bettina Cammann,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Az. 8 O 214/26 · Az. 8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