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Mainz</w:t>
      </w:r>
    </w:p>
    <w:p>
      <w:pPr>
        <w:pStyle w:val="Heading1"/>
      </w:pPr>
      <w:r>
        <w:t>Protokoll der Zeugenvernehmung — Sandra Vietinghoff</w:t>
      </w:r>
    </w:p>
    <w:p>
      <w:r>
        <w:t>Az. 8 O 214/26, Termin vom 09.02.2027</w:t>
      </w:r>
    </w:p>
    <w:p>
      <w:pPr>
        <w:pStyle w:val="Heading2"/>
      </w:pPr>
      <w:r>
        <w:t>Aussage der Zeugin</w:t>
      </w:r>
    </w:p>
    <w:p>
      <w:r>
        <w:t>Die Zeugin Sandra Vietinghoff, Marktfolge Kredit der Sparkasse Weinbergland Mainz, sagt aus, dass sie das Engagement der Domblick Weinkellerei-Betriebs-GmbH seit November 2025 in der Intensivbetreuung fuehrte. Sie bestaetigt, den Vermerk vom 24.11.2025 mit der darin beschriebenen 'Exit-Strategie' verfasst zu haben. Auf Nachfrage der Klaegervertreterin raeumt sie ein, dass ihr die wiederholten Ruecklastschriften seit April 2025 sowie die beiden Kontopfaendungen bekannt gewesen seien und sie diese als deutliches Warnsignal gewertet habe.</w:t>
      </w:r>
    </w:p>
    <w:p/>
    <w:p>
      <w:r>
        <w:t>Die Protokollfuehrerin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Mainz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Mainz</w:t>
    </w:r>
  </w:p>
  <w:p>
    <w:pPr>
      <w:jc w:val="left"/>
      <w:pBdr>
        <w:bottom w:val="single" w:sz="6" w:space="2" w:color="3B3F45"/>
      </w:pBdr>
    </w:pPr>
    <w:r>
      <w:rPr>
        <w:rFonts w:ascii="Times New Roman" w:hAnsi="Times New Roman"/>
        <w:color w:val="6B6B66"/>
        <w:sz w:val="16"/>
      </w:rPr>
      <w:t>Gericht · Az. 8 O 214/26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