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Oldenburg</w:t>
      </w:r>
    </w:p>
    <w:p>
      <w:pPr>
        <w:pStyle w:val="Heading1"/>
      </w:pPr>
      <w:r>
        <w:t>Protokoll der Zeugenvernehmung — Hartmut Wienken</w:t>
      </w:r>
    </w:p>
    <w:p>
      <w:r>
        <w:t>Az. 5 O 612/26, Termin vom 16.02.2027</w:t>
      </w:r>
    </w:p>
    <w:p>
      <w:pPr>
        <w:pStyle w:val="Heading2"/>
      </w:pPr>
      <w:r>
        <w:t>Aussage des Zeugen</w:t>
      </w:r>
    </w:p>
    <w:p>
      <w:r>
        <w:t>Der Zeuge Hartmut Wienken, Steuerberater der Schuldnerin, sagt aus, dass die Beklagte zu 1 nach seiner Kenntnis allenfalls gelegentlich Ablagearbeiten im Buero der Schuldnerin erledigt habe; eine regelmaessige oder vertraglich vereinbarte Buchhaltungstaetigkeit sei ihm nicht bekannt. Zur behaupteten Geruest- und Transporthilfe des Beklagten zu 3 koenne er keine Angaben machen, da dies nicht Gegenstand der Buchhaltung gewesen sei.</w:t>
      </w:r>
    </w:p>
    <w:p/>
    <w:p>
      <w:r>
        <w:t>Die Protokollfuehrerin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Oldenburg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Oldenburg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5 O 612/26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