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Berkhoff Lauterbach &amp; Partner mbB</w:t>
        <w:br/>
        <w:t>Mainzer Landstrasse 46, 60325 Frankfurt am Main</w:t>
      </w:r>
    </w:p>
    <w:p>
      <w:pPr>
        <w:pStyle w:val="Heading1"/>
      </w:pPr>
      <w:r>
        <w:t>Klageerwiderung</w:t>
      </w:r>
    </w:p>
    <w:p>
      <w:r>
        <w:t>An das Landgericht Stuttgart - Az. 34 O 88/26 KfH</w:t>
      </w:r>
    </w:p>
    <w:p/>
    <w:p>
      <w:r>
        <w:t>Namens und im Auftrag der Beklagten wird beantragt, die Klage abzuweisen.</w:t>
      </w:r>
    </w:p>
    <w:p>
      <w:pPr>
        <w:pStyle w:val="Heading2"/>
      </w:pPr>
      <w:r>
        <w:t>Begruendung</w:t>
      </w:r>
    </w:p>
    <w:p>
      <w:r>
        <w:t>Die Sicherheiten wurden im Rahmen eines Gesamtpakets bestellt, das der Schuldnerin mittelbare Vorteile durch Fortbestand der Unternehmensgruppe, Cash-Pooling und Konzernauftraege verschafft hat. Diese mittelbaren Vorteile schliessen die Unentgeltlichkeit aus. Das Sanierungsgutachten sei nur ein Zwischenstand gewesen; die Muttergesellschaft habe im Bestellungszeitpunkt noch als sanierungsfaehig gegolten.</w:t>
      </w:r>
    </w:p>
    <w:p>
      <w:r>
        <w:t>Die Beklagte habe zudem keine Kenntnis von einer etwaigen Wertlosigkeit des Rueckgriffsanspruchs gehabt; das interne Rating-Memo sei nicht Gegenstand der Kreditentscheidung im engeren Sinne gewesen.</w:t>
      </w:r>
    </w:p>
    <w:p/>
    <w:p>
      <w:r>
        <w:t>Berkhoff Lauterbach &amp; Partner mbB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Berkhoff Lauterbach &amp; Partner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BERKHOFF LAUTERBACH &amp; PARTNER MBB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60325 Frankfurt am Main · Az. 34 O 88/26 KfH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