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Stuttgart - 34. Zivilkammer fuer Handelssachen</w:t>
        <w:br/>
        <w:t>Urbanstrasse 20, 70182 Stuttgart</w:t>
      </w:r>
    </w:p>
    <w:p>
      <w:pPr>
        <w:pStyle w:val="Heading1"/>
      </w:pPr>
      <w:r>
        <w:t>Vergleichsverhandlungsprotokoll</w:t>
      </w:r>
    </w:p>
    <w:p>
      <w:r>
        <w:t>Im Anschluss an die Beweisaufnahme vom 15.01.2027 erklaeren beide Parteien Vergleichsbereitschaft.</w:t>
      </w:r>
    </w:p>
    <w:p>
      <w:r>
        <w:t>Die Beklagte bietet eine Zahlung von EUR 480.000,00 zur Abgeltung saemtlicher wechselseitiger Anspruche aus der Sicherheitenbestellung an; die Klaegerin fordert unter Hinweis auf das Gutachtenergebnis EUR 620.000,00.</w:t>
      </w:r>
    </w:p>
    <w:p>
      <w:r>
        <w:t>Beiden Seiten wird eine Erklaerungsfrist bis zum 16.02.2027 eingeraeumt.</w:t>
      </w:r>
    </w:p>
    <w:p/>
    <w:p>
      <w:r>
        <w:t>Protokollfuehrer: Justizangestellter F. Brenneisen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Stuttgart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Stuttgart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70182 Stuttgart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