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Bilanz 2024 und 2025 mit Vermerk zu stillen Reserven</w:t>
      </w:r>
    </w:p>
    <w:p>
      <w:r>
        <w:t>Kurzbilanz zum 31.12.2024 und 31.12.2025 (Werte in TEUR), erstellt durch Steuerberatung Kolbe &amp; Nauendorf.</w:t>
      </w:r>
    </w:p>
    <w:p>
      <w:pPr>
        <w:pStyle w:val="Heading2"/>
      </w:pPr>
      <w:r>
        <w:t>Aktiva</w:t>
      </w:r>
    </w:p>
    <w:p>
      <w:pPr>
        <w:pStyle w:val="ListBullet"/>
      </w:pPr>
      <w:r>
        <w:t>Sachanlagen: 2024: 4.180 / 2025: 3.960</w:t>
      </w:r>
    </w:p>
    <w:p>
      <w:pPr>
        <w:pStyle w:val="ListBullet"/>
      </w:pPr>
      <w:r>
        <w:t>Patente und Zulassungen (immateriell): 2024: 1.240 / 2025: 1.510</w:t>
      </w:r>
    </w:p>
    <w:p>
      <w:pPr>
        <w:pStyle w:val="ListBullet"/>
      </w:pPr>
      <w:r>
        <w:t>Vorraete: 2024: 2.310 / 2025: 2.870</w:t>
      </w:r>
    </w:p>
    <w:p>
      <w:pPr>
        <w:pStyle w:val="ListBullet"/>
      </w:pPr>
      <w:r>
        <w:t>Forderungen aus Lieferungen und Leistungen: 2024: 1.980 / 2025: 2.640 (davon streitig 2025: 640)</w:t>
      </w:r>
    </w:p>
    <w:p>
      <w:pPr>
        <w:pStyle w:val="ListBullet"/>
      </w:pPr>
      <w:r>
        <w:t>Kasse/Bank: 2024: 890 / 2025: 210</w:t>
      </w:r>
    </w:p>
    <w:p>
      <w:pPr>
        <w:pStyle w:val="Heading2"/>
      </w:pPr>
      <w:r>
        <w:t>Passiva</w:t>
      </w:r>
    </w:p>
    <w:p>
      <w:pPr>
        <w:pStyle w:val="ListBullet"/>
      </w:pPr>
      <w:r>
        <w:t>Eigenkapital: 2024: 1.760 / 2025: -340</w:t>
      </w:r>
    </w:p>
    <w:p>
      <w:pPr>
        <w:pStyle w:val="ListBullet"/>
      </w:pPr>
      <w:r>
        <w:t>Gesellschafterdarlehen (Rangruecktritt vorgesehen): 2024: 800 / 2025: 1.100</w:t>
      </w:r>
    </w:p>
    <w:p>
      <w:pPr>
        <w:pStyle w:val="ListBullet"/>
      </w:pPr>
      <w:r>
        <w:t>Bankverbindlichkeiten: 2024: 3.200 / 2025: 3.950</w:t>
      </w:r>
    </w:p>
    <w:p>
      <w:pPr>
        <w:pStyle w:val="ListBullet"/>
      </w:pPr>
      <w:r>
        <w:t>Verbindlichkeiten aus Lieferungen und Leistungen: 2024: 2.140 / 2025: 3.480</w:t>
      </w:r>
    </w:p>
    <w:p>
      <w:pPr>
        <w:pStyle w:val="ListBullet"/>
      </w:pPr>
      <w:r>
        <w:t>Rueckstellungen (Gewaehrleistung, Personal): 2024: 700 / 2025: 1.020</w:t>
      </w:r>
    </w:p>
    <w:p>
      <w:pPr>
        <w:pStyle w:val="Heading2"/>
      </w:pPr>
      <w:r>
        <w:t>Vermerk stille Reserven</w:t>
      </w:r>
    </w:p>
    <w:p>
      <w:r>
        <w:t>Der bilanzielle Restbuchwert der Produktionshalle Loebstedter Strasse betraegt 1,42 Mio EUR; nach Einschaetzung des beauftragten Gutachters Dipl.-Ing. Falko Reinsch liegt der Verkehrswert bei rund 2,35 Mio EUR. Zusaetzlich sind zwei Patentfamilien (Sensorkalibrierung, EP 3 912 xxx) nicht bilanziert, deren Marktwert vom Patentanwalt auf 400.000 bis 650.000 EUR geschaetzt wird.</w:t>
      </w:r>
    </w:p>
    <w:p>
      <w:r>
        <w:t>Diese stillen Reserven sind bei der Fortfuehrungsprognose und der Vergleichsrechnung zum Insolvenzplan zu beruecksichtigen.</w:t>
      </w:r>
    </w:p>
    <w:p/>
    <w:p>
      <w:r>
        <w:t>Kolbe &amp; Nauendorf Steuerberatungsgesellschaft mbH, Jena, 18.06.2026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