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Debtor-in-Possession-Financing Term Sheet (Entwurf)</w:t>
      </w:r>
    </w:p>
    <w:p>
      <w:r>
        <w:t>Interessent: MedVentures Rhein-Main Fonds II GmbH &amp; Co. KG (Bestandsgesellschafter).</w:t>
      </w:r>
    </w:p>
    <w:p>
      <w:pPr>
        <w:pStyle w:val="Heading2"/>
      </w:pPr>
      <w:r>
        <w:t>Eckpunkte</w:t>
      </w:r>
    </w:p>
    <w:p>
      <w:pPr>
        <w:pStyle w:val="ListBullet"/>
      </w:pPr>
      <w:r>
        <w:t>Finanzierungsvolumen: bis zu 500.000 EUR als nachrangiges Ueberbrueckungsdarlehen</w:t>
      </w:r>
    </w:p>
    <w:p>
      <w:pPr>
        <w:pStyle w:val="ListBullet"/>
      </w:pPr>
      <w:r>
        <w:t>Zinssatz: 8 % p.a., endfaellig</w:t>
      </w:r>
    </w:p>
    <w:p>
      <w:pPr>
        <w:pStyle w:val="ListBullet"/>
      </w:pPr>
      <w:r>
        <w:t>Rangfolge: nachrangig gegenueber Massekredit der Thueringer Landesbank, vorrangig gegenueber Alt-Gesellschafterdarlehen</w:t>
      </w:r>
    </w:p>
    <w:p>
      <w:pPr>
        <w:pStyle w:val="ListBullet"/>
      </w:pPr>
      <w:r>
        <w:t>Bedingung: Zustimmung des vorlaeufigen Sachwalters sowie Aufnahme einer Besserungsklausel im Insolvenzplan</w:t>
      </w:r>
    </w:p>
    <w:p>
      <w:pPr>
        <w:pStyle w:val="ListBullet"/>
      </w:pPr>
      <w:r>
        <w:t>Laufzeit: bis Planvollzug, laengstens 24 Monate</w:t>
      </w:r>
    </w:p>
    <w:p>
      <w:r>
        <w:t>Dieses Term Sheet ist unverbindlich und steht unter dem Vorbehalt der Gremienzustimmung bei MedVentures.</w:t>
      </w:r>
    </w:p>
    <w:p/>
    <w:p>
      <w:r>
        <w:t>MedVentures Rhein-Main Fonds II GmbH &amp; Co. KG, Carsten Ohlendorf, Frankfurt am Main, 20.07.2026 (Entwurf)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