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BioMetrik Jena GmbH i.E.V. | Lindenhof und Partner mbB | Az. AG Jena 555 IN 132/26</w:t>
      </w:r>
    </w:p>
    <w:p>
      <w:pPr>
        <w:pStyle w:val="Heading1"/>
      </w:pPr>
      <w:r>
        <w:t>Sozialplan-Entwurf fuer den Personalabbau von 45 Stellen</w:t>
      </w:r>
    </w:p>
    <w:p>
      <w:r>
        <w:t>Zwischen der BioMetrik Jena GmbH (in Eigenverwaltung) und dem Betriebsrat, vertreten durch Herrn Uwe Kalinski, wird folgender Sozialplan vereinbart (Entwurf, Stand 30.07.2026):</w:t>
      </w:r>
    </w:p>
    <w:p>
      <w:r>
        <w:t>1. Abfindung: 0,5 Bruttomonatsgehaelter je vollem Beschaeftigungsjahr, gedeckelt auf 25.000 EUR pro Person.</w:t>
      </w:r>
    </w:p>
    <w:p>
      <w:r>
        <w:t>2. Transfergesellschaft fuer alle betroffenen Beschaeftigten mit einer Laufzeit von neun Monaten, finanziert anteilig aus Massemitteln und Foerderung der Bundesagentur fuer Arbeit.</w:t>
      </w:r>
    </w:p>
    <w:p>
      <w:r>
        <w:t>3. Sozialauswahl nach den Kriterien Betriebszugehoerigkeit, Lebensalter, Unterhaltspflichten und Schwerbehinderung gemaess § 1 Abs. 3 KSchG.</w:t>
      </w:r>
    </w:p>
    <w:p>
      <w:r>
        <w:t>4. Das Gesamtvolumen des Sozialplans wird auf 1,38 Mio EUR geschaetzt und ist als Masseverbindlichkeit zu bedienen, begrenzt durch § 123 InsO (Sozialplan-Deckelung).</w:t>
      </w:r>
    </w:p>
    <w:p/>
    <w:p>
      <w:r>
        <w:t>Entwurf zur Verhandlung, Stand 30.07.2026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BioMetrik Jena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2"/>
      </w:rPr>
      <w:t>BIOMETRIK JENA GMBH</w:t>
    </w:r>
  </w:p>
  <w:p>
    <w:pPr>
      <w:jc w:val="left"/>
      <w:pBdr>
        <w:bottom w:val="single" w:sz="8" w:space="2" w:color="1F3864"/>
      </w:pBdr>
    </w:pPr>
    <w:r>
      <w:rPr>
        <w:rFonts w:ascii="Times New Roman" w:hAnsi="Times New Roman"/>
        <w:color w:val="6B6B66"/>
        <w:sz w:val="16"/>
      </w:rPr>
      <w:t>Rechtsanwaltskanzlei · Az. AG Jena 555 IN 132/26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