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22 — Abschluss und Examensanmeldung 2027</w:t>
      </w:r>
    </w:p>
    <w:p>
      <w:pPr>
        <w:jc w:val="left"/>
      </w:pPr>
      <w:r>
        <w:rPr>
          <w:b/>
        </w:rPr>
        <w:t>Kontext:</w:t>
      </w:r>
      <w:r>
        <w:t xml:space="preserve"> Finaler Ablaufplan Roosendaal-Tinnefeld; Zulassungsbescheid JPA Köln liegt vor; Vorbereitung auf schriftliche und mündliche Prüfung Frühjahr 2027.</w:t>
      </w:r>
    </w:p>
    <w:p/>
    <w:p>
      <w:pPr>
        <w:pStyle w:val="Heading2"/>
      </w:pPr>
      <w:r>
        <w:rPr>
          <w:rFonts w:ascii="Times New Roman" w:hAnsi="Times New Roman"/>
        </w:rPr>
        <w:t>Zulassungsbescheid</w:t>
      </w:r>
    </w:p>
    <w:p>
      <w:pPr>
        <w:jc w:val="left"/>
      </w:pPr>
      <w:r>
        <w:rPr>
          <w:b/>
        </w:rPr>
        <w:t>Ausstellungsdatum:</w:t>
      </w:r>
      <w:r>
        <w:t xml:space="preserve"> 22.04.2026</w:t>
      </w:r>
    </w:p>
    <w:p>
      <w:pPr>
        <w:jc w:val="left"/>
      </w:pPr>
      <w:r>
        <w:rPr>
          <w:b/>
        </w:rPr>
        <w:t>Ausstellende Behörde:</w:t>
      </w:r>
      <w:r>
        <w:t xml:space="preserve"> Justizprüfungsamt beim OLG Köln</w:t>
      </w:r>
    </w:p>
    <w:p>
      <w:pPr>
        <w:jc w:val="left"/>
      </w:pPr>
      <w:r>
        <w:rPr>
          <w:b/>
        </w:rPr>
        <w:t>Inhalt:</w:t>
      </w:r>
      <w:r>
        <w:t xml:space="preserve"> Zulassung zur 1. Juristischen Prüfung, Frühjahr 2027. Nachteilsausgleich nach § 9 JAG NRW: Bescheid noch ausstehend.</w:t>
      </w:r>
    </w:p>
    <w:p/>
    <w:p>
      <w:pPr>
        <w:pStyle w:val="Heading2"/>
      </w:pPr>
      <w:r>
        <w:rPr>
          <w:rFonts w:ascii="Times New Roman" w:hAnsi="Times New Roman"/>
        </w:rPr>
        <w:t>Prüfungsplan Frühjahr 2027 (voraussichtlich)</w:t>
      </w:r>
    </w:p>
    <w:p>
      <w:pPr>
        <w:jc w:val="left"/>
      </w:pPr>
      <w:r>
        <w:t>Die genauen Klausurdaten werden durch das JPA ca. 3 Monate vor Prüfungsbeginn mitgeteilt. Erfahrungswerte NRW:</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Klausur</w:t>
            </w:r>
          </w:p>
        </w:tc>
        <w:tc>
          <w:tcPr>
            <w:tcW w:type="dxa" w:w="3024"/>
          </w:tcPr>
          <w:p>
            <w:r>
              <w:rPr>
                <w:rFonts w:ascii="Times New Roman" w:hAnsi="Times New Roman"/>
                <w:b/>
                <w:sz w:val="20"/>
              </w:rPr>
              <w:t>Fach</w:t>
            </w:r>
          </w:p>
        </w:tc>
        <w:tc>
          <w:tcPr>
            <w:tcW w:type="dxa" w:w="3024"/>
          </w:tcPr>
          <w:p>
            <w:r>
              <w:rPr>
                <w:rFonts w:ascii="Times New Roman" w:hAnsi="Times New Roman"/>
                <w:b/>
                <w:sz w:val="20"/>
              </w:rPr>
              <w:t>Voraussichtlicher Zeitraum</w:t>
            </w:r>
          </w:p>
        </w:tc>
      </w:tr>
      <w:tr>
        <w:tc>
          <w:tcPr>
            <w:tcW w:type="dxa" w:w="3024"/>
          </w:tcPr>
          <w:p>
            <w:r>
              <w:rPr>
                <w:rFonts w:ascii="Times New Roman" w:hAnsi="Times New Roman"/>
                <w:sz w:val="20"/>
              </w:rPr>
              <w:t>1</w:t>
            </w:r>
          </w:p>
        </w:tc>
        <w:tc>
          <w:tcPr>
            <w:tcW w:type="dxa" w:w="3024"/>
          </w:tcPr>
          <w:p>
            <w:r>
              <w:rPr>
                <w:rFonts w:ascii="Times New Roman" w:hAnsi="Times New Roman"/>
                <w:sz w:val="20"/>
              </w:rPr>
              <w:t>Bürgerliches Recht I</w:t>
            </w:r>
          </w:p>
        </w:tc>
        <w:tc>
          <w:tcPr>
            <w:tcW w:type="dxa" w:w="3024"/>
          </w:tcPr>
          <w:p>
            <w:r>
              <w:rPr>
                <w:rFonts w:ascii="Times New Roman" w:hAnsi="Times New Roman"/>
                <w:sz w:val="20"/>
              </w:rPr>
              <w:t>Februar 2027, Woche 1</w:t>
            </w:r>
          </w:p>
        </w:tc>
      </w:tr>
      <w:tr>
        <w:tc>
          <w:tcPr>
            <w:tcW w:type="dxa" w:w="3024"/>
          </w:tcPr>
          <w:p>
            <w:r>
              <w:rPr>
                <w:rFonts w:ascii="Times New Roman" w:hAnsi="Times New Roman"/>
                <w:sz w:val="20"/>
              </w:rPr>
              <w:t>2</w:t>
            </w:r>
          </w:p>
        </w:tc>
        <w:tc>
          <w:tcPr>
            <w:tcW w:type="dxa" w:w="3024"/>
          </w:tcPr>
          <w:p>
            <w:r>
              <w:rPr>
                <w:rFonts w:ascii="Times New Roman" w:hAnsi="Times New Roman"/>
                <w:sz w:val="20"/>
              </w:rPr>
              <w:t>Bürgerliches Recht II</w:t>
            </w:r>
          </w:p>
        </w:tc>
        <w:tc>
          <w:tcPr>
            <w:tcW w:type="dxa" w:w="3024"/>
          </w:tcPr>
          <w:p>
            <w:r>
              <w:rPr>
                <w:rFonts w:ascii="Times New Roman" w:hAnsi="Times New Roman"/>
                <w:sz w:val="20"/>
              </w:rPr>
              <w:t>Februar 2027, Woche 1</w:t>
            </w:r>
          </w:p>
        </w:tc>
      </w:tr>
      <w:tr>
        <w:tc>
          <w:tcPr>
            <w:tcW w:type="dxa" w:w="3024"/>
          </w:tcPr>
          <w:p>
            <w:r>
              <w:rPr>
                <w:rFonts w:ascii="Times New Roman" w:hAnsi="Times New Roman"/>
                <w:sz w:val="20"/>
              </w:rPr>
              <w:t>3</w:t>
            </w:r>
          </w:p>
        </w:tc>
        <w:tc>
          <w:tcPr>
            <w:tcW w:type="dxa" w:w="3024"/>
          </w:tcPr>
          <w:p>
            <w:r>
              <w:rPr>
                <w:rFonts w:ascii="Times New Roman" w:hAnsi="Times New Roman"/>
                <w:sz w:val="20"/>
              </w:rPr>
              <w:t>Strafrecht</w:t>
            </w:r>
          </w:p>
        </w:tc>
        <w:tc>
          <w:tcPr>
            <w:tcW w:type="dxa" w:w="3024"/>
          </w:tcPr>
          <w:p>
            <w:r>
              <w:rPr>
                <w:rFonts w:ascii="Times New Roman" w:hAnsi="Times New Roman"/>
                <w:sz w:val="20"/>
              </w:rPr>
              <w:t>Februar 2027, Woche 2</w:t>
            </w:r>
          </w:p>
        </w:tc>
      </w:tr>
      <w:tr>
        <w:tc>
          <w:tcPr>
            <w:tcW w:type="dxa" w:w="3024"/>
          </w:tcPr>
          <w:p>
            <w:r>
              <w:rPr>
                <w:rFonts w:ascii="Times New Roman" w:hAnsi="Times New Roman"/>
                <w:sz w:val="20"/>
              </w:rPr>
              <w:t>4</w:t>
            </w:r>
          </w:p>
        </w:tc>
        <w:tc>
          <w:tcPr>
            <w:tcW w:type="dxa" w:w="3024"/>
          </w:tcPr>
          <w:p>
            <w:r>
              <w:rPr>
                <w:rFonts w:ascii="Times New Roman" w:hAnsi="Times New Roman"/>
                <w:sz w:val="20"/>
              </w:rPr>
              <w:t>Öffentliches Recht</w:t>
            </w:r>
          </w:p>
        </w:tc>
        <w:tc>
          <w:tcPr>
            <w:tcW w:type="dxa" w:w="3024"/>
          </w:tcPr>
          <w:p>
            <w:r>
              <w:rPr>
                <w:rFonts w:ascii="Times New Roman" w:hAnsi="Times New Roman"/>
                <w:sz w:val="20"/>
              </w:rPr>
              <w:t>Februar 2027, Woche 2</w:t>
            </w:r>
          </w:p>
        </w:tc>
      </w:tr>
      <w:tr>
        <w:tc>
          <w:tcPr>
            <w:tcW w:type="dxa" w:w="3024"/>
          </w:tcPr>
          <w:p>
            <w:r>
              <w:rPr>
                <w:rFonts w:ascii="Times New Roman" w:hAnsi="Times New Roman"/>
                <w:sz w:val="20"/>
              </w:rPr>
              <w:t>5</w:t>
            </w:r>
          </w:p>
        </w:tc>
        <w:tc>
          <w:tcPr>
            <w:tcW w:type="dxa" w:w="3024"/>
          </w:tcPr>
          <w:p>
            <w:r>
              <w:rPr>
                <w:rFonts w:ascii="Times New Roman" w:hAnsi="Times New Roman"/>
                <w:sz w:val="20"/>
              </w:rPr>
              <w:t>Zivilrecht (praktische Aufgabe)</w:t>
            </w:r>
          </w:p>
        </w:tc>
        <w:tc>
          <w:tcPr>
            <w:tcW w:type="dxa" w:w="3024"/>
          </w:tcPr>
          <w:p>
            <w:r>
              <w:rPr>
                <w:rFonts w:ascii="Times New Roman" w:hAnsi="Times New Roman"/>
                <w:sz w:val="20"/>
              </w:rPr>
              <w:t>Februar/März 2027, Woche 3</w:t>
            </w:r>
          </w:p>
        </w:tc>
      </w:tr>
      <w:tr>
        <w:tc>
          <w:tcPr>
            <w:tcW w:type="dxa" w:w="3024"/>
          </w:tcPr>
          <w:p>
            <w:r>
              <w:rPr>
                <w:rFonts w:ascii="Times New Roman" w:hAnsi="Times New Roman"/>
                <w:sz w:val="20"/>
              </w:rPr>
              <w:t>6</w:t>
            </w:r>
          </w:p>
        </w:tc>
        <w:tc>
          <w:tcPr>
            <w:tcW w:type="dxa" w:w="3024"/>
          </w:tcPr>
          <w:p>
            <w:r>
              <w:rPr>
                <w:rFonts w:ascii="Times New Roman" w:hAnsi="Times New Roman"/>
                <w:sz w:val="20"/>
              </w:rPr>
              <w:t>Fremdsprache / ZR-Klausur</w:t>
            </w:r>
          </w:p>
        </w:tc>
        <w:tc>
          <w:tcPr>
            <w:tcW w:type="dxa" w:w="3024"/>
          </w:tcPr>
          <w:p>
            <w:r>
              <w:rPr>
                <w:rFonts w:ascii="Times New Roman" w:hAnsi="Times New Roman"/>
                <w:sz w:val="20"/>
              </w:rPr>
              <w:t>März 2027, Woche 3</w:t>
            </w:r>
          </w:p>
        </w:tc>
      </w:tr>
    </w:tbl>
    <w:p>
      <w:pPr>
        <w:jc w:val="left"/>
      </w:pPr>
      <w:r>
        <w:t>Prüfungsort: JPA beim OLG Köln, Reichenspergerplatz 1, 50670 Köln.</w:t>
      </w:r>
    </w:p>
    <w:p/>
    <w:p>
      <w:pPr>
        <w:pStyle w:val="Heading2"/>
      </w:pPr>
      <w:r>
        <w:rPr>
          <w:rFonts w:ascii="Times New Roman" w:hAnsi="Times New Roman"/>
        </w:rPr>
        <w:t>Anreise und Logistik am Klausurtag</w:t>
      </w:r>
    </w:p>
    <w:p>
      <w:pPr>
        <w:pStyle w:val="ListBullet"/>
      </w:pPr>
      <w:r>
        <w:t>Anreise: Bahn Bonn Hauptbahnhof → Köln Hauptbahnhof (ca. 25 Minuten); dann U-Bahn zum OLG.</w:t>
      </w:r>
    </w:p>
    <w:p>
      <w:pPr>
        <w:pStyle w:val="ListBullet"/>
      </w:pPr>
      <w:r>
        <w:t>Ankunft: mind. 45 Minuten vor Klausurbeginn.</w:t>
      </w:r>
    </w:p>
    <w:p>
      <w:pPr>
        <w:pStyle w:val="ListBullet"/>
      </w:pPr>
      <w:r>
        <w:t>Hilfsmittel eingepackt: Palandt, Schönfelder, Sartorius; Füller + Reserve-Kugelschreiber; Getränk + Snack.</w:t>
      </w:r>
    </w:p>
    <w:p>
      <w:pPr>
        <w:pStyle w:val="ListBullet"/>
      </w:pPr>
      <w:r>
        <w:t>Erkrankungsreserve: Arzt kontaktieren, wenn vor Klausurtag krank — Prüfungsunfähigkeit muss unverzüglich angezeigt werden (§ 14 JAG NRW).</w:t>
      </w:r>
    </w:p>
    <w:p/>
    <w:p>
      <w:pPr>
        <w:pStyle w:val="Heading2"/>
      </w:pPr>
      <w:r>
        <w:rPr>
          <w:rFonts w:ascii="Times New Roman" w:hAnsi="Times New Roman"/>
        </w:rPr>
        <w:t>Mündliche Prüfung (Schwerpunktbereich)</w:t>
      </w:r>
    </w:p>
    <w:p>
      <w:pPr>
        <w:jc w:val="left"/>
      </w:pPr>
      <w:r>
        <w:t>Die mündliche Prüfung im Schwerpunktbereich IPR findet gesondert an der Universität Bonn statt.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Aspekt</w:t>
            </w:r>
          </w:p>
        </w:tc>
        <w:tc>
          <w:tcPr>
            <w:tcW w:type="dxa" w:w="4536"/>
          </w:tcPr>
          <w:p>
            <w:r>
              <w:rPr>
                <w:rFonts w:ascii="Times New Roman" w:hAnsi="Times New Roman"/>
                <w:b/>
                <w:sz w:val="20"/>
              </w:rPr>
              <w:t>Details</w:t>
            </w:r>
          </w:p>
        </w:tc>
      </w:tr>
      <w:tr>
        <w:tc>
          <w:tcPr>
            <w:tcW w:type="dxa" w:w="4536"/>
          </w:tcPr>
          <w:p>
            <w:r>
              <w:rPr>
                <w:rFonts w:ascii="Times New Roman" w:hAnsi="Times New Roman"/>
                <w:sz w:val="20"/>
              </w:rPr>
              <w:t>Prüfer</w:t>
            </w:r>
          </w:p>
        </w:tc>
        <w:tc>
          <w:tcPr>
            <w:tcW w:type="dxa" w:w="4536"/>
          </w:tcPr>
          <w:p>
            <w:r>
              <w:rPr>
                <w:rFonts w:ascii="Times New Roman" w:hAnsi="Times New Roman"/>
                <w:sz w:val="20"/>
              </w:rPr>
              <w:t>Prof. Dr. Witzleben (voraussichtlich) + 2 weitere Mitglieder</w:t>
            </w:r>
          </w:p>
        </w:tc>
      </w:tr>
      <w:tr>
        <w:tc>
          <w:tcPr>
            <w:tcW w:type="dxa" w:w="4536"/>
          </w:tcPr>
          <w:p>
            <w:r>
              <w:rPr>
                <w:rFonts w:ascii="Times New Roman" w:hAnsi="Times New Roman"/>
                <w:sz w:val="20"/>
              </w:rPr>
              <w:t>Dauer</w:t>
            </w:r>
          </w:p>
        </w:tc>
        <w:tc>
          <w:tcPr>
            <w:tcW w:type="dxa" w:w="4536"/>
          </w:tcPr>
          <w:p>
            <w:r>
              <w:rPr>
                <w:rFonts w:ascii="Times New Roman" w:hAnsi="Times New Roman"/>
                <w:sz w:val="20"/>
              </w:rPr>
              <w:t>ca. 45–60 Minuten</w:t>
            </w:r>
          </w:p>
        </w:tc>
      </w:tr>
      <w:tr>
        <w:tc>
          <w:tcPr>
            <w:tcW w:type="dxa" w:w="4536"/>
          </w:tcPr>
          <w:p>
            <w:r>
              <w:rPr>
                <w:rFonts w:ascii="Times New Roman" w:hAnsi="Times New Roman"/>
                <w:sz w:val="20"/>
              </w:rPr>
              <w:t>Stoff</w:t>
            </w:r>
          </w:p>
        </w:tc>
        <w:tc>
          <w:tcPr>
            <w:tcW w:type="dxa" w:w="4536"/>
          </w:tcPr>
          <w:p>
            <w:r>
              <w:rPr>
                <w:rFonts w:ascii="Times New Roman" w:hAnsi="Times New Roman"/>
                <w:sz w:val="20"/>
              </w:rPr>
              <w:t>Schwerpunktbereich B (IPR) — Rom-I-VO, Rom-II-VO, EGBGB, Rechtsvergleichung</w:t>
            </w:r>
          </w:p>
        </w:tc>
      </w:tr>
      <w:tr>
        <w:tc>
          <w:tcPr>
            <w:tcW w:type="dxa" w:w="4536"/>
          </w:tcPr>
          <w:p>
            <w:r>
              <w:rPr>
                <w:rFonts w:ascii="Times New Roman" w:hAnsi="Times New Roman"/>
                <w:sz w:val="20"/>
              </w:rPr>
              <w:t>Vorbereitung</w:t>
            </w:r>
          </w:p>
        </w:tc>
        <w:tc>
          <w:tcPr>
            <w:tcW w:type="dxa" w:w="4536"/>
          </w:tcPr>
          <w:p>
            <w:r>
              <w:rPr>
                <w:rFonts w:ascii="Times New Roman" w:hAnsi="Times New Roman"/>
                <w:sz w:val="20"/>
              </w:rPr>
              <w:t>Prüfungsgespräch-Simulation mit Dr. Dueck (November 2026)</w:t>
            </w:r>
          </w:p>
        </w:tc>
      </w:tr>
      <w:tr>
        <w:tc>
          <w:tcPr>
            <w:tcW w:type="dxa" w:w="4536"/>
          </w:tcPr>
          <w:p>
            <w:r>
              <w:rPr>
                <w:rFonts w:ascii="Times New Roman" w:hAnsi="Times New Roman"/>
                <w:sz w:val="20"/>
              </w:rPr>
              <w:t>Note</w:t>
            </w:r>
          </w:p>
        </w:tc>
        <w:tc>
          <w:tcPr>
            <w:tcW w:type="dxa" w:w="4536"/>
          </w:tcPr>
          <w:p>
            <w:r>
              <w:rPr>
                <w:rFonts w:ascii="Times New Roman" w:hAnsi="Times New Roman"/>
                <w:sz w:val="20"/>
              </w:rPr>
              <w:t>Fließt in Gesamtnote ein</w:t>
            </w:r>
          </w:p>
        </w:tc>
      </w:tr>
    </w:tbl>
    <w:p>
      <w:pPr>
        <w:jc w:val="left"/>
      </w:pPr>
      <w:r>
        <w:t>Empfehlung Dr. Dueck: Bei Witzleben gilt — ruhig und strukturiert antworten, auch wenn unsicher. Lieber „ich bin mir nicht sicher, tendiere aber zu …" als falsches Selbstbewusstsein.</w:t>
      </w:r>
    </w:p>
    <w:p/>
    <w:p>
      <w:pPr>
        <w:pStyle w:val="Heading2"/>
      </w:pPr>
      <w:r>
        <w:rPr>
          <w:rFonts w:ascii="Times New Roman" w:hAnsi="Times New Roman"/>
        </w:rPr>
        <w:t>Durchfallszenarien und Optionen (vorsorglich)</w:t>
      </w:r>
    </w:p>
    <w:p>
      <w:pPr>
        <w:jc w:val="left"/>
      </w:pPr>
      <w:r>
        <w:t>Annika hat ausdrücklich gebeten, auch die Nicht-Bestehensoption zu kennen:</w:t>
      </w:r>
    </w:p>
    <w:p>
      <w:pPr>
        <w:pStyle w:val="ListBullet"/>
      </w:pPr>
      <w:r>
        <w:rPr>
          <w:b/>
        </w:rPr>
        <w:t>Erstversuch nicht bestanden:</w:t>
      </w:r>
      <w:r>
        <w:t xml:space="preserve"> Wiederholung möglich (§ 16 JAG NRW); kein automatischer Studienabbruch.</w:t>
      </w:r>
    </w:p>
    <w:p>
      <w:pPr>
        <w:pStyle w:val="ListBullet"/>
      </w:pPr>
      <w:r>
        <w:rPr>
          <w:b/>
        </w:rPr>
        <w:t>Nota bene:</w:t>
      </w:r>
      <w:r>
        <w:t xml:space="preserve"> Juristen-Examina in NRW haben eine Durchfallquote von ca. 30–35 % im ersten Versuch — keine Ausnahme.</w:t>
      </w:r>
    </w:p>
    <w:p>
      <w:pPr>
        <w:pStyle w:val="ListBullet"/>
      </w:pPr>
      <w:r>
        <w:rPr>
          <w:b/>
        </w:rPr>
        <w:t>LL.M. ohne bestandenes Staatsexamen:</w:t>
      </w:r>
      <w:r>
        <w:t xml:space="preserve"> Möglich bei ausreichend gutem Schwerpunktzeugnis (Oxford LLM kann auch ohne Staatsexamen beantragt werden); alternative Wege in Forschung/NGO.</w:t>
      </w:r>
    </w:p>
    <w:p/>
    <w:p>
      <w:pPr>
        <w:pStyle w:val="Heading2"/>
      </w:pPr>
      <w:r>
        <w:rPr>
          <w:rFonts w:ascii="Times New Roman" w:hAnsi="Times New Roman"/>
        </w:rPr>
        <w:t>Abschlusstableau</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Bereich</w:t>
            </w:r>
          </w:p>
        </w:tc>
        <w:tc>
          <w:tcPr>
            <w:tcW w:type="dxa" w:w="3024"/>
          </w:tcPr>
          <w:p>
            <w:r>
              <w:rPr>
                <w:rFonts w:ascii="Times New Roman" w:hAnsi="Times New Roman"/>
                <w:b/>
                <w:sz w:val="20"/>
              </w:rPr>
              <w:t>Ziel</w:t>
            </w:r>
          </w:p>
        </w:tc>
        <w:tc>
          <w:tcPr>
            <w:tcW w:type="dxa" w:w="3024"/>
          </w:tcPr>
          <w:p>
            <w:r>
              <w:rPr>
                <w:rFonts w:ascii="Times New Roman" w:hAnsi="Times New Roman"/>
                <w:b/>
                <w:sz w:val="20"/>
              </w:rPr>
              <w:t>Stand Juli 2026</w:t>
            </w:r>
          </w:p>
        </w:tc>
      </w:tr>
      <w:tr>
        <w:tc>
          <w:tcPr>
            <w:tcW w:type="dxa" w:w="3024"/>
          </w:tcPr>
          <w:p>
            <w:r>
              <w:rPr>
                <w:rFonts w:ascii="Times New Roman" w:hAnsi="Times New Roman"/>
                <w:sz w:val="20"/>
              </w:rPr>
              <w:t>BGB</w:t>
            </w:r>
          </w:p>
        </w:tc>
        <w:tc>
          <w:tcPr>
            <w:tcW w:type="dxa" w:w="3024"/>
          </w:tcPr>
          <w:p>
            <w:r>
              <w:rPr>
                <w:rFonts w:ascii="Times New Roman" w:hAnsi="Times New Roman"/>
                <w:sz w:val="20"/>
              </w:rPr>
              <w:t>Ø 7,5 Punkte im Examen</w:t>
            </w:r>
          </w:p>
        </w:tc>
        <w:tc>
          <w:tcPr>
            <w:tcW w:type="dxa" w:w="3024"/>
          </w:tcPr>
          <w:p>
            <w:r>
              <w:rPr>
                <w:rFonts w:ascii="Times New Roman" w:hAnsi="Times New Roman"/>
                <w:sz w:val="20"/>
              </w:rPr>
              <w:t>7 Punkte in letzten 3 BGB-Klausuren</w:t>
            </w:r>
          </w:p>
        </w:tc>
      </w:tr>
      <w:tr>
        <w:tc>
          <w:tcPr>
            <w:tcW w:type="dxa" w:w="3024"/>
          </w:tcPr>
          <w:p>
            <w:r>
              <w:rPr>
                <w:rFonts w:ascii="Times New Roman" w:hAnsi="Times New Roman"/>
                <w:sz w:val="20"/>
              </w:rPr>
              <w:t>Strafrecht</w:t>
            </w:r>
          </w:p>
        </w:tc>
        <w:tc>
          <w:tcPr>
            <w:tcW w:type="dxa" w:w="3024"/>
          </w:tcPr>
          <w:p>
            <w:r>
              <w:rPr>
                <w:rFonts w:ascii="Times New Roman" w:hAnsi="Times New Roman"/>
                <w:sz w:val="20"/>
              </w:rPr>
              <w:t>Ø 7 Punkte</w:t>
            </w:r>
          </w:p>
        </w:tc>
        <w:tc>
          <w:tcPr>
            <w:tcW w:type="dxa" w:w="3024"/>
          </w:tcPr>
          <w:p>
            <w:r>
              <w:rPr>
                <w:rFonts w:ascii="Times New Roman" w:hAnsi="Times New Roman"/>
                <w:sz w:val="20"/>
              </w:rPr>
              <w:t>6 Punkte, steigend</w:t>
            </w:r>
          </w:p>
        </w:tc>
      </w:tr>
      <w:tr>
        <w:tc>
          <w:tcPr>
            <w:tcW w:type="dxa" w:w="3024"/>
          </w:tcPr>
          <w:p>
            <w:r>
              <w:rPr>
                <w:rFonts w:ascii="Times New Roman" w:hAnsi="Times New Roman"/>
                <w:sz w:val="20"/>
              </w:rPr>
              <w:t>ÖR</w:t>
            </w:r>
          </w:p>
        </w:tc>
        <w:tc>
          <w:tcPr>
            <w:tcW w:type="dxa" w:w="3024"/>
          </w:tcPr>
          <w:p>
            <w:r>
              <w:rPr>
                <w:rFonts w:ascii="Times New Roman" w:hAnsi="Times New Roman"/>
                <w:sz w:val="20"/>
              </w:rPr>
              <w:t>Ø 7 Punkte</w:t>
            </w:r>
          </w:p>
        </w:tc>
        <w:tc>
          <w:tcPr>
            <w:tcW w:type="dxa" w:w="3024"/>
          </w:tcPr>
          <w:p>
            <w:r>
              <w:rPr>
                <w:rFonts w:ascii="Times New Roman" w:hAnsi="Times New Roman"/>
                <w:sz w:val="20"/>
              </w:rPr>
              <w:t>7 Punkte (letzte Klausur)</w:t>
            </w:r>
          </w:p>
        </w:tc>
      </w:tr>
      <w:tr>
        <w:tc>
          <w:tcPr>
            <w:tcW w:type="dxa" w:w="3024"/>
          </w:tcPr>
          <w:p>
            <w:r>
              <w:rPr>
                <w:rFonts w:ascii="Times New Roman" w:hAnsi="Times New Roman"/>
                <w:sz w:val="20"/>
              </w:rPr>
              <w:t>Nachteilsausgleich</w:t>
            </w:r>
          </w:p>
        </w:tc>
        <w:tc>
          <w:tcPr>
            <w:tcW w:type="dxa" w:w="3024"/>
          </w:tcPr>
          <w:p>
            <w:r>
              <w:rPr>
                <w:rFonts w:ascii="Times New Roman" w:hAnsi="Times New Roman"/>
                <w:sz w:val="20"/>
              </w:rPr>
              <w:t>Gewährung ausstehend</w:t>
            </w:r>
          </w:p>
        </w:tc>
        <w:tc>
          <w:tcPr>
            <w:tcW w:type="dxa" w:w="3024"/>
          </w:tcPr>
          <w:p>
            <w:r>
              <w:rPr>
                <w:rFonts w:ascii="Times New Roman" w:hAnsi="Times New Roman"/>
                <w:sz w:val="20"/>
              </w:rPr>
              <w:t>Antrag gestellt</w:t>
            </w:r>
          </w:p>
        </w:tc>
      </w:tr>
      <w:tr>
        <w:tc>
          <w:tcPr>
            <w:tcW w:type="dxa" w:w="3024"/>
          </w:tcPr>
          <w:p>
            <w:r>
              <w:rPr>
                <w:rFonts w:ascii="Times New Roman" w:hAnsi="Times New Roman"/>
                <w:sz w:val="20"/>
              </w:rPr>
              <w:t>Schwerpunkt IPR</w:t>
            </w:r>
          </w:p>
        </w:tc>
        <w:tc>
          <w:tcPr>
            <w:tcW w:type="dxa" w:w="3024"/>
          </w:tcPr>
          <w:p>
            <w:r>
              <w:rPr>
                <w:rFonts w:ascii="Times New Roman" w:hAnsi="Times New Roman"/>
                <w:sz w:val="20"/>
              </w:rPr>
              <w:t>11 Punkte Hausarbeit</w:t>
            </w:r>
          </w:p>
        </w:tc>
        <w:tc>
          <w:tcPr>
            <w:tcW w:type="dxa" w:w="3024"/>
          </w:tcPr>
          <w:p>
            <w:r>
              <w:rPr>
                <w:rFonts w:ascii="Times New Roman" w:hAnsi="Times New Roman"/>
                <w:sz w:val="20"/>
              </w:rPr>
              <w:t>Abgeschlossen ✓</w:t>
            </w:r>
          </w:p>
        </w:tc>
      </w:tr>
      <w:tr>
        <w:tc>
          <w:tcPr>
            <w:tcW w:type="dxa" w:w="3024"/>
          </w:tcPr>
          <w:p>
            <w:r>
              <w:rPr>
                <w:rFonts w:ascii="Times New Roman" w:hAnsi="Times New Roman"/>
                <w:sz w:val="20"/>
              </w:rPr>
              <w:t>Psychische Stabilität</w:t>
            </w:r>
          </w:p>
        </w:tc>
        <w:tc>
          <w:tcPr>
            <w:tcW w:type="dxa" w:w="3024"/>
          </w:tcPr>
          <w:p>
            <w:r>
              <w:rPr>
                <w:rFonts w:ascii="Times New Roman" w:hAnsi="Times New Roman"/>
                <w:sz w:val="20"/>
              </w:rPr>
              <w:t>Belastbar für Prüfung</w:t>
            </w:r>
          </w:p>
        </w:tc>
        <w:tc>
          <w:tcPr>
            <w:tcW w:type="dxa" w:w="3024"/>
          </w:tcPr>
          <w:p>
            <w:r>
              <w:rPr>
                <w:rFonts w:ascii="Times New Roman" w:hAnsi="Times New Roman"/>
                <w:sz w:val="20"/>
              </w:rPr>
              <w:t>Positives Signal (Dr. Mews)</w:t>
            </w:r>
          </w:p>
        </w:tc>
      </w:tr>
      <w:tr>
        <w:tc>
          <w:tcPr>
            <w:tcW w:type="dxa" w:w="3024"/>
          </w:tcPr>
          <w:p>
            <w:r>
              <w:rPr>
                <w:rFonts w:ascii="Times New Roman" w:hAnsi="Times New Roman"/>
                <w:sz w:val="20"/>
              </w:rPr>
              <w:t>Logistik</w:t>
            </w:r>
          </w:p>
        </w:tc>
        <w:tc>
          <w:tcPr>
            <w:tcW w:type="dxa" w:w="3024"/>
          </w:tcPr>
          <w:p>
            <w:r>
              <w:rPr>
                <w:rFonts w:ascii="Times New Roman" w:hAnsi="Times New Roman"/>
                <w:sz w:val="20"/>
              </w:rPr>
              <w:t>Hilfsmittel bereit</w:t>
            </w:r>
          </w:p>
        </w:tc>
        <w:tc>
          <w:tcPr>
            <w:tcW w:type="dxa" w:w="3024"/>
          </w:tcPr>
          <w:p>
            <w:r>
              <w:rPr>
                <w:rFonts w:ascii="Times New Roman" w:hAnsi="Times New Roman"/>
                <w:sz w:val="20"/>
              </w:rPr>
              <w:t>Palandt 2027-Auflage beschaffen</w:t>
            </w:r>
          </w:p>
        </w:tc>
      </w:tr>
    </w:tbl>
    <w:p/>
    <w:p>
      <w:pPr>
        <w:pStyle w:val="Heading2"/>
      </w:pPr>
      <w:r>
        <w:rPr>
          <w:rFonts w:ascii="Times New Roman" w:hAnsi="Times New Roman"/>
        </w:rPr>
        <w:t>Persönlicher Abschlusssatz Annikas (22.06.2026, Lerntagebuch)</w:t>
      </w:r>
    </w:p>
    <w:p>
      <w:pPr>
        <w:ind w:left="567"/>
      </w:pPr>
      <w:r>
        <w:rPr>
          <w:i/>
        </w:rPr>
        <w:t>„Ich habe in diesem Jahr mehr gelernt als in den acht Semestern davor. Nicht wegen der Klausurpunkte, sondern weil ich ernsthaft am Scheitern war und trotzdem weitergemacht habe. Das zählt auch."</w:t>
      </w:r>
    </w:p>
    <w:p/>
    <w:p>
      <w:pPr>
        <w:pStyle w:val="Heading2"/>
      </w:pPr>
      <w:r>
        <w:rPr>
          <w:rFonts w:ascii="Times New Roman" w:hAnsi="Times New Roman"/>
        </w:rPr>
        <w:t>Quellen</w:t>
      </w:r>
    </w:p>
    <w:p>
      <w:pPr>
        <w:pStyle w:val="ListBullet"/>
      </w:pPr>
      <w:r>
        <w:t>§ 14, § 16 JAG NRW bei dejure.org</w:t>
      </w:r>
    </w:p>
    <w:p>
      <w:pPr>
        <w:pStyle w:val="ListBullet"/>
      </w:pPr>
      <w:r>
        <w:t xml:space="preserve">Zulassungsbescheid JPA Köln (Anhang: </w:t>
      </w:r>
      <w:r>
        <w:t>emails/2026-04-22_jpa_koeln_anmeldung_eingang.eml</w:t>
      </w:r>
      <w:r>
        <w:t>)</w:t>
      </w:r>
    </w:p>
    <w:p>
      <w:pPr>
        <w:pStyle w:val="ListBullet"/>
      </w:pPr>
      <w:r>
        <w:t>Aktenstücke 10, 15, 21</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Ausstellende Behörde: Justizprüfungsamt beim OLG Köln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Ausstellende Behörde: Justizprüfungsamt beim OLG Köln</w:t>
    </w:r>
  </w:p>
  <w:p>
    <w:pPr>
      <w:jc w:val="left"/>
      <w:pBdr>
        <w:bottom w:val="single" w:sz="6" w:space="2" w:color="3B3F45"/>
      </w:pBdr>
    </w:pPr>
    <w:r>
      <w:rPr>
        <w:rFonts w:ascii="Times New Roman" w:hAnsi="Times New Roman"/>
        <w:color w:val="6B6B66"/>
        <w:sz w:val="16"/>
      </w:rPr>
      <w:t>Behörde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