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Vertragsentwurf: Kanzlei-SaaS mit Mandantenportal</w:t>
      </w:r>
    </w:p>
    <w:p>
      <w:pPr>
        <w:pStyle w:val="Heading2"/>
      </w:pPr>
      <w:r>
        <w:rPr>
          <w:rFonts w:ascii="Times New Roman" w:hAnsi="Times New Roman"/>
        </w:rPr>
        <w:t>Ausgangslage</w:t>
      </w:r>
    </w:p>
    <w:p>
      <w:pPr>
        <w:jc w:val="left"/>
      </w:pPr>
      <w:r>
        <w:t>Die Kanzlei Lindenstraße möchte mit der CloudWerk AG einen Vertrag über ein Mandantenportal schließen. Der Entwurf soll für eine junge Anwältin verständlich geführt werden, aber für eine erfahrene Kanzlei belastbar genug sein.</w:t>
      </w:r>
    </w:p>
    <w:p>
      <w:pPr>
        <w:pStyle w:val="Heading2"/>
      </w:pPr>
      <w:r>
        <w:rPr>
          <w:rFonts w:ascii="Times New Roman" w:hAnsi="Times New Roman"/>
        </w:rPr>
        <w:t>Eckdaten</w:t>
      </w:r>
    </w:p>
    <w:p>
      <w:pPr>
        <w:pStyle w:val="ListBullet"/>
      </w:pPr>
      <w:r>
        <w:t>Anbieterin: CloudWerk AG, Berlin, vertreten durch den Vorstand</w:t>
      </w:r>
    </w:p>
    <w:p>
      <w:pPr>
        <w:pStyle w:val="ListBullet"/>
      </w:pPr>
      <w:r>
        <w:t>Kundin: Rechtsanwältin Jana Reuter, Kanzlei Lindenstraße</w:t>
      </w:r>
    </w:p>
    <w:p>
      <w:pPr>
        <w:pStyle w:val="ListBullet"/>
      </w:pPr>
      <w:r>
        <w:t>Vertragsgegenstand: gehostetes Mandantenportal mit Dokumentenupload, Zwei-Faktor-Authentifizierung, Rollenrechten, Exportfunktion und Audit-Log</w:t>
      </w:r>
    </w:p>
    <w:p>
      <w:pPr>
        <w:pStyle w:val="ListBullet"/>
      </w:pPr>
      <w:r>
        <w:t>Vergütung: 790 EUR netto monatlich, Einrichtung 2.400 EUR netto</w:t>
      </w:r>
    </w:p>
    <w:p>
      <w:pPr>
        <w:pStyle w:val="ListBullet"/>
      </w:pPr>
      <w:r>
        <w:t>Laufzeit: 24 Monate, danach monatlich kündbar</w:t>
      </w:r>
    </w:p>
    <w:p>
      <w:pPr>
        <w:pStyle w:val="ListBullet"/>
      </w:pPr>
      <w:r>
        <w:t>Datenschutz: Auftragsverarbeitung, Serverstandort EU, TOM-Anlage</w:t>
      </w:r>
    </w:p>
    <w:p>
      <w:pPr>
        <w:pStyle w:val="ListBullet"/>
      </w:pPr>
      <w:r>
        <w:t>Berufsrecht: Verschwiegenheit, Zugriffsbeschränkung, Unterauftragnehmer, Lösch- und Herausgabeprozess</w:t>
      </w:r>
    </w:p>
    <w:p>
      <w:pPr>
        <w:pStyle w:val="ListBullet"/>
      </w:pPr>
      <w:r>
        <w:t>Service-Level: 99,5 Prozent Monatsverfügbarkeit, Reaktionszeiten nach Kritikalität</w:t>
      </w:r>
    </w:p>
    <w:p>
      <w:pPr>
        <w:pStyle w:val="ListBullet"/>
      </w:pPr>
      <w:r>
        <w:t>Haftung: bewusst verhandeln, keine pauschale Haftungsfreizeichnung für Datenverlust oder Berufsgeheimnisse</w:t>
      </w:r>
    </w:p>
    <w:p>
      <w:pPr>
        <w:pStyle w:val="Heading2"/>
      </w:pPr>
      <w:r>
        <w:rPr>
          <w:rFonts w:ascii="Times New Roman" w:hAnsi="Times New Roman"/>
        </w:rPr>
        <w:t>Pflichtklauseln</w:t>
      </w:r>
    </w:p>
    <w:p>
      <w:pPr>
        <w:pStyle w:val="ListNumber"/>
      </w:pPr>
      <w:r>
        <w:t>Parteien und Vertretung mit Handelsregisterdaten.</w:t>
      </w:r>
    </w:p>
    <w:p>
      <w:pPr>
        <w:pStyle w:val="ListNumber"/>
      </w:pPr>
      <w:r>
        <w:t>Leistungsbeschreibung mit konkreten Funktionen.</w:t>
      </w:r>
    </w:p>
    <w:p>
      <w:pPr>
        <w:pStyle w:val="ListNumber"/>
      </w:pPr>
      <w:r>
        <w:t>Einrichtung, Migration und Abnahme.</w:t>
      </w:r>
    </w:p>
    <w:p>
      <w:pPr>
        <w:pStyle w:val="ListNumber"/>
      </w:pPr>
      <w:r>
        <w:t>Vergütung, Fälligkeit und Preisanpassung.</w:t>
      </w:r>
    </w:p>
    <w:p>
      <w:pPr>
        <w:pStyle w:val="ListNumber"/>
      </w:pPr>
      <w:r>
        <w:t>Service-Level und Support.</w:t>
      </w:r>
    </w:p>
    <w:p>
      <w:pPr>
        <w:pStyle w:val="ListNumber"/>
      </w:pPr>
      <w:r>
        <w:t>Datenschutz, Auftragsverarbeitung und Unterauftragnehmer.</w:t>
      </w:r>
    </w:p>
    <w:p>
      <w:pPr>
        <w:pStyle w:val="ListNumber"/>
      </w:pPr>
      <w:r>
        <w:t>Berufsgeheimnis und Zugriffsschutz.</w:t>
      </w:r>
    </w:p>
    <w:p>
      <w:pPr>
        <w:pStyle w:val="ListNumber"/>
      </w:pPr>
      <w:r>
        <w:t>Datenexport bei Vertragsende.</w:t>
      </w:r>
    </w:p>
    <w:p>
      <w:pPr>
        <w:pStyle w:val="ListNumber"/>
      </w:pPr>
      <w:r>
        <w:t>Haftung, Verjährung und Versicherung.</w:t>
      </w:r>
    </w:p>
    <w:p>
      <w:pPr>
        <w:pStyle w:val="ListNumber"/>
      </w:pPr>
      <w:r>
        <w:t>Audit, Protokolle und Nachweise.</w:t>
      </w:r>
    </w:p>
    <w:p>
      <w:pPr>
        <w:pStyle w:val="ListNumber"/>
      </w:pPr>
      <w:r>
        <w:t>Kündigung, Sperrung und Notfallzugang.</w:t>
      </w:r>
    </w:p>
    <w:p>
      <w:pPr>
        <w:pStyle w:val="ListNumber"/>
      </w:pPr>
      <w:r>
        <w:t>Anlagen: AVV, TOM, SLA, Preisblatt, Migrationsplan.</w:t>
      </w:r>
    </w:p>
    <w:p>
      <w:pPr>
        <w:pStyle w:val="Heading2"/>
      </w:pPr>
      <w:r>
        <w:rPr>
          <w:rFonts w:ascii="Times New Roman" w:hAnsi="Times New Roman"/>
        </w:rPr>
        <w:t>Erwartetes Verhalten des Plugins</w:t>
      </w:r>
    </w:p>
    <w:p>
      <w:pPr>
        <w:pStyle w:val="ListBullet"/>
      </w:pPr>
      <w:r>
        <w:t>Erst das wirtschaftliche Ziel bestätigen.</w:t>
      </w:r>
    </w:p>
    <w:p>
      <w:pPr>
        <w:pStyle w:val="ListBullet"/>
      </w:pPr>
      <w:r>
        <w:t>Handelsregisterabruf für CloudWerk AG anbieten oder simulieren.</w:t>
      </w:r>
    </w:p>
    <w:p>
      <w:pPr>
        <w:pStyle w:val="ListBullet"/>
      </w:pPr>
      <w:r>
        <w:t>Entwurf in verständlicher Sprache schreiben.</w:t>
      </w:r>
    </w:p>
    <w:p>
      <w:pPr>
        <w:pStyle w:val="ListBullet"/>
      </w:pPr>
      <w:r>
        <w:t>Verhandlungspunkte sichtbar markieren.</w:t>
      </w:r>
    </w:p>
    <w:p>
      <w:pPr>
        <w:pStyle w:val="ListBullet"/>
      </w:pPr>
      <w:r>
        <w:t>Datenschutz- und Berufsrechtsrisiken nicht verstecken.</w:t>
      </w:r>
    </w:p>
    <w:p>
      <w:pPr>
        <w:pStyle w:val="ListBullet"/>
      </w:pPr>
      <w:r>
        <w:t>Qualitätsgate für Vertragsentwurf ausführen.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CloudWerk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CloudWerk AG</w:t>
    </w:r>
  </w:p>
  <w:p>
    <w:pPr>
      <w:jc w:val="left"/>
      <w:pBdr>
        <w:bottom w:val="single" w:sz="6" w:space="2" w:color="1F3864"/>
      </w:pBdr>
    </w:pPr>
    <w:r>
      <w:rPr>
        <w:rFonts w:ascii="Times New Roman" w:hAnsi="Times New Roman"/>
        <w:color w:val="6B6B66"/>
        <w:sz w:val="16"/>
      </w:rPr>
      <w:t>Berlin, vertreten durch den Vorstand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