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Steuerliche Strukturierung — Personengesellschaft vs. Kapitalgesellschaft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18. März 2026</w:t>
      </w:r>
    </w:p>
    <w:p>
      <w:pPr>
        <w:jc w:val="left"/>
      </w:pPr>
      <w:r>
        <w:rPr>
          <w:b/>
        </w:rPr>
        <w:t>Bearbeiter:</w:t>
      </w:r>
      <w:r>
        <w:t xml:space="preserve"> Dr. Volker Sandhof (intern, Fachberatung Steuerrecht), Steuerberater Prof. Dr. Werner Kallenbrunner (extern, Köln)</w:t>
      </w:r>
    </w:p>
    <w:p/>
    <w:p>
      <w:pPr>
        <w:pStyle w:val="Heading2"/>
      </w:pPr>
      <w:r>
        <w:rPr>
          <w:rFonts w:ascii="Times New Roman" w:hAnsi="Times New Roman"/>
        </w:rPr>
        <w:t>1. Ausgangspunkt der steuerlichen Analyse</w:t>
      </w:r>
    </w:p>
    <w:p>
      <w:pPr>
        <w:jc w:val="left"/>
      </w:pPr>
      <w:r>
        <w:t>Die Wahl der Rechtsform (RA-GmbH, s. Aktenstück 03) hat erhebliche steuerliche Auswirkungen, da Kapitalgesellschaft und Personengesellschaft grundlegend unterschiedlich besteuert werden. Die nachfolgende Analyse soll die Steuerbelastung unter verschiedenen Szenarien vergleichen.</w:t>
      </w:r>
    </w:p>
    <w:p/>
    <w:p>
      <w:pPr>
        <w:pStyle w:val="Heading2"/>
      </w:pPr>
      <w:r>
        <w:rPr>
          <w:rFonts w:ascii="Times New Roman" w:hAnsi="Times New Roman"/>
        </w:rPr>
        <w:t>2. Steuerliche Sphären</w:t>
      </w:r>
    </w:p>
    <w:p>
      <w:pPr>
        <w:pStyle w:val="Heading3"/>
      </w:pPr>
      <w:r>
        <w:rPr>
          <w:rFonts w:ascii="Times New Roman" w:hAnsi="Times New Roman"/>
        </w:rPr>
        <w:t>Personengesellschaft (z.B. PartG mbB)</w:t>
      </w:r>
    </w:p>
    <w:p>
      <w:pPr>
        <w:jc w:val="left"/>
      </w:pPr>
      <w:r>
        <w:t xml:space="preserve">Bei einer Personengesellschaft gilt das </w:t>
      </w:r>
      <w:r>
        <w:rPr>
          <w:b/>
        </w:rPr>
        <w:t>Transparenzprinzip</w:t>
      </w:r>
      <w:r>
        <w:t>: Die Gesellschaft ist selbst nicht Steuersubjekt der Ertragsteuern. Die Gewinne werden unmittelbar den Gesellschaftern zugerechnet und bei diesen nach dem persönlichen Einkommensteuertarif besteuert (§ 15 Abs. 1 Satz 1 Nr. 2 EStG für Mitunternehmer).</w:t>
      </w:r>
    </w:p>
    <w:p>
      <w:pPr>
        <w:pStyle w:val="ListBullet"/>
      </w:pPr>
      <w:r>
        <w:t>Einkommensteuer: Spitzensatz 42 %, Reichensteuer 45 % (§ 32a EStG)</w:t>
      </w:r>
    </w:p>
    <w:p>
      <w:pPr>
        <w:pStyle w:val="ListBullet"/>
      </w:pPr>
      <w:r>
        <w:t>Gewerbesteuer: Fällt auf Gesellschaftsebene an, aber Anrechnung auf ESt-Schuld (§ 35 EStG) mindert effektive Belastung</w:t>
      </w:r>
    </w:p>
    <w:p>
      <w:pPr>
        <w:pStyle w:val="ListBullet"/>
      </w:pPr>
      <w:r>
        <w:t>Keine Körperschaftsteuer</w:t>
      </w:r>
    </w:p>
    <w:p>
      <w:pPr>
        <w:jc w:val="left"/>
      </w:pPr>
      <w:r>
        <w:t>Freiberufliche Tätigkeiten (Rechtsanwälte) unterliegen grundsätzlich nicht der Gewerbesteuer (§ 18 EStG, § 2 Abs. 1 GewStG). Bei reiner RA-Tätigkeit in der Partnerschaft entfällt die Gewerbesteuer vollständig — ein erheblicher Vorteil.</w:t>
      </w:r>
    </w:p>
    <w:p>
      <w:pPr>
        <w:pStyle w:val="Heading3"/>
      </w:pPr>
      <w:r>
        <w:rPr>
          <w:rFonts w:ascii="Times New Roman" w:hAnsi="Times New Roman"/>
        </w:rPr>
        <w:t>Kapitalgesellschaft (RA-GmbH)</w:t>
      </w:r>
    </w:p>
    <w:p>
      <w:pPr>
        <w:jc w:val="left"/>
      </w:pPr>
      <w:r>
        <w:t xml:space="preserve">Bei der GmbH gilt das </w:t>
      </w:r>
      <w:r>
        <w:rPr>
          <w:b/>
        </w:rPr>
        <w:t>Trennungsprinzip</w:t>
      </w:r>
      <w:r>
        <w:t>: Die Gesellschaft ist eigenständiges Steuersubjekt.</w:t>
      </w:r>
    </w:p>
    <w:p>
      <w:pPr>
        <w:pStyle w:val="ListBullet"/>
      </w:pPr>
      <w:r>
        <w:rPr>
          <w:b/>
        </w:rPr>
        <w:t>Körperschaftsteuer (KSt):</w:t>
      </w:r>
      <w:r>
        <w:t xml:space="preserve"> 15 % zzgl. Solidaritätszuschlag 0,825 % (= 15,825 % auf Ebene GmbH)</w:t>
      </w:r>
    </w:p>
    <w:p>
      <w:pPr>
        <w:pStyle w:val="ListBullet"/>
      </w:pPr>
      <w:r>
        <w:rPr>
          <w:b/>
        </w:rPr>
        <w:t>Gewerbesteuer:</w:t>
      </w:r>
      <w:r>
        <w:t xml:space="preserve"> Steuermesszahl 3,5 % × Hebesatz Aachen 470 % = </w:t>
      </w:r>
      <w:r>
        <w:rPr>
          <w:b/>
        </w:rPr>
        <w:t>16,45 %</w:t>
      </w:r>
    </w:p>
    <w:p>
      <w:pPr>
        <w:pStyle w:val="ListBullet"/>
      </w:pPr>
      <w:r>
        <w:rPr>
          <w:b/>
        </w:rPr>
        <w:t>Effektive Steuerbelastung GmbH-Ebene:</w:t>
      </w:r>
      <w:r>
        <w:t xml:space="preserve"> ca. </w:t>
      </w:r>
      <w:r>
        <w:rPr>
          <w:b/>
        </w:rPr>
        <w:t>30 %</w:t>
      </w:r>
    </w:p>
    <w:p>
      <w:pPr>
        <w:jc w:val="left"/>
      </w:pPr>
      <w:r>
        <w:t>Ausschüttungen an Gesellschafter:</w:t>
      </w:r>
    </w:p>
    <w:p>
      <w:pPr>
        <w:pStyle w:val="ListBullet"/>
      </w:pPr>
      <w:r>
        <w:rPr>
          <w:b/>
        </w:rPr>
        <w:t>Abgeltungsteuer:</w:t>
      </w:r>
      <w:r>
        <w:t xml:space="preserve"> 25 % zzgl. SolZ und ggf. KiSt (§ 43 EStG)</w:t>
      </w:r>
    </w:p>
    <w:p>
      <w:pPr>
        <w:pStyle w:val="ListBullet"/>
      </w:pPr>
      <w:r>
        <w:t xml:space="preserve">Gesamtbelastung bei Vollausschüttung: ca. </w:t>
      </w:r>
      <w:r>
        <w:rPr>
          <w:b/>
        </w:rPr>
        <w:t>48–50 %</w:t>
      </w:r>
      <w:r>
        <w:t xml:space="preserve"> (GmbH + Gesellschafter)</w:t>
      </w:r>
    </w:p>
    <w:p>
      <w:pPr>
        <w:pStyle w:val="Heading3"/>
      </w:pPr>
      <w:r>
        <w:rPr>
          <w:rFonts w:ascii="Times New Roman" w:hAnsi="Times New Roman"/>
        </w:rPr>
        <w:t>Rechtsanwälte als Gewerbetreibende?</w:t>
      </w:r>
    </w:p>
    <w:p>
      <w:pPr>
        <w:jc w:val="left"/>
      </w:pPr>
      <w:r>
        <w:t>Eine RA-GmbH ist nach ständiger Rechtsprechung des BFH eine gewerbliche Kapitalgesellschaft und daher gewerbesteuerpflichtig, auch wenn sie ausschließlich freiberufliche Tätigkeiten ausübt (§ 2 Abs. 2 GewStG). Der für Einzelanwälte und Partnerschaftsgesellschaften geltende Gewerbesteuer-Freibetrag kommt der GmbH nicht zugute.</w:t>
      </w:r>
    </w:p>
    <w:p/>
    <w:p>
      <w:pPr>
        <w:pStyle w:val="Heading2"/>
      </w:pPr>
      <w:r>
        <w:rPr>
          <w:rFonts w:ascii="Times New Roman" w:hAnsi="Times New Roman"/>
        </w:rPr>
        <w:t>3. Gestaltungsoptionen bei der EFS-GmbH</w:t>
      </w:r>
    </w:p>
    <w:p>
      <w:pPr>
        <w:pStyle w:val="Heading3"/>
      </w:pPr>
      <w:r>
        <w:rPr>
          <w:rFonts w:ascii="Times New Roman" w:hAnsi="Times New Roman"/>
        </w:rPr>
        <w:t>Option A: Hohe Geschäftsführergehälter</w:t>
      </w:r>
    </w:p>
    <w:p>
      <w:pPr>
        <w:jc w:val="left"/>
      </w:pPr>
      <w:r>
        <w:t>Durch marktgerechte Geschäftsführergehälter wird der körperschaftsteuerliche Gewinn der GmbH minimiert. Die GF-Gehälter sind als Betriebsausgaben abziehbar. Beim Gesellschafter-Geschäftsführer unterliegen sie der Einkommensteuer wie Arbeitslohn.</w:t>
      </w:r>
    </w:p>
    <w:p>
      <w:pPr>
        <w:jc w:val="left"/>
      </w:pPr>
      <w:r>
        <w:rPr>
          <w:b/>
        </w:rPr>
        <w:t>Risiko:</w:t>
      </w:r>
      <w:r>
        <w:t xml:space="preserve"> Bei unangemessen hohen Gehältern droht die Qualifizierung als verdeckte Gewinnausschüttung (vGA) durch das Finanzamt Aachen (§ 8 Abs. 3 KStG). Maßstab ist das Gehalt eines fremden Geschäftsführers für vergleichbare Aufgaben (Fremdvergleich).</w:t>
      </w:r>
    </w:p>
    <w:p>
      <w:pPr>
        <w:jc w:val="left"/>
      </w:pPr>
      <w:r>
        <w:rPr>
          <w:b/>
        </w:rPr>
        <w:t>Empfehlung Sandhof/Kallenbrunner:</w:t>
      </w:r>
      <w:r>
        <w:t xml:space="preserve"> Gehalt Eckermann 110.000 EUR, Friedrich 110.000 EUR, Sandhof 115.000 EUR (Aufschlag wegen Doppelqualifikation StB). Mit diesen Gehältern verbleibt ein zu versteuernder Gewinn von ca. 60.000–120.000 EUR/Jahr bei prognostizierten Gesamtumsätzen von ca. 1,5 Mio. EUR.</w:t>
      </w:r>
    </w:p>
    <w:p>
      <w:pPr>
        <w:pStyle w:val="Heading3"/>
      </w:pPr>
      <w:r>
        <w:rPr>
          <w:rFonts w:ascii="Times New Roman" w:hAnsi="Times New Roman"/>
        </w:rPr>
        <w:t>Option B: Thesaurierung und Reinvestition</w:t>
      </w:r>
    </w:p>
    <w:p>
      <w:pPr>
        <w:jc w:val="left"/>
      </w:pPr>
      <w:r>
        <w:t>Nicht ausgeschüttete Gewinne werden in der GmbH belassen und reinvestiert. Effektive Belastung auf GmbH-Ebene ca. 30 %. Erst bei späterer Ausschüttung fällt Abgeltungsteuer an. Dies ist vorteilhaft bei langfristiger Reinvestitionsabsicht (Kanzleiwachstum, IT-Investitionen).</w:t>
      </w:r>
    </w:p>
    <w:p>
      <w:pPr>
        <w:pStyle w:val="Heading3"/>
      </w:pPr>
      <w:r>
        <w:rPr>
          <w:rFonts w:ascii="Times New Roman" w:hAnsi="Times New Roman"/>
        </w:rPr>
        <w:t>Option C: Gesellschafterdarlehen</w:t>
      </w:r>
    </w:p>
    <w:p>
      <w:pPr>
        <w:jc w:val="left"/>
      </w:pPr>
      <w:r>
        <w:t>Gesellschafter können der GmbH Darlehen gewähren. Zinsen sind auf GmbH-Ebene Betriebsausgaben, beim Gesellschafter Einkünfte aus Kapitalvermögen (25 % AbgSt). Achtung: § 8a KStG (Zinsschranke) und §§ 1–2 AStG bei Nichtfremdüblichkeit.</w:t>
      </w:r>
    </w:p>
    <w:p/>
    <w:p>
      <w:pPr>
        <w:pStyle w:val="Heading2"/>
      </w:pPr>
      <w:r>
        <w:rPr>
          <w:rFonts w:ascii="Times New Roman" w:hAnsi="Times New Roman"/>
        </w:rPr>
        <w:t>4. Sandhofs Doppelqualifikation: StB-Sphäre</w:t>
      </w:r>
    </w:p>
    <w:p>
      <w:pPr>
        <w:jc w:val="left"/>
      </w:pPr>
      <w:r>
        <w:t>Dr. Sandhof ist sowohl Rechtsanwalt als auch Steuerberater. Die EFS-GmbH kann als RA-GmbH auch steuerberatend tätig sein, sofern die BRAO-Zulassung Annexgeschäfte umfasst (§ 59c Abs. 1 BRAO: "Verbindung mit anderen Berufen ... soweit gesetzlich zulässig"). Da das StBerG die gemeinschaftliche Berufsausübung von RA und StB in einer GmbH erlaubt (§ 49 StBerG), ist diese Verbindung zulässig.</w:t>
      </w:r>
    </w:p>
    <w:p>
      <w:pPr>
        <w:jc w:val="left"/>
      </w:pPr>
      <w:r>
        <w:t>Sandhof benötigt eine separate Zulassung als Steuerberater bei der Steuerberaterkammer Köln (StBK Köln), die auf die EFS-GmbH ausgeweitet werden muss.</w:t>
      </w:r>
    </w:p>
    <w:p/>
    <w:p>
      <w:pPr>
        <w:pStyle w:val="Heading2"/>
      </w:pPr>
      <w:r>
        <w:rPr>
          <w:rFonts w:ascii="Times New Roman" w:hAnsi="Times New Roman"/>
        </w:rPr>
        <w:t>5. Zusammenfassung Steuerliche 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Modell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Belastung GmbH-Ebene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Belastung nach Ausschüttung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Gewerbesteuer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PartG mbB (Vergleich)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ESt-Spitzensatz ~45 %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RA-GmbH thesauriert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~30 %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(16,45 %)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RA-GmbH mit GF-Gehältern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ESt auf Gehalt (42 %)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(auf Restgewinn)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RA-GmbH Vollausschüttung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+25 % AbgSt = ~48 %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p>
      <w:pPr>
        <w:jc w:val="left"/>
      </w:pPr>
      <w:r>
        <w:t>Die gewählte Strategie (hohe GF-Gehälter + moderate Thesaurierung) ist steuerlich die effizienteste Variante für die EFS-GmbH.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EStG § 15 (Gewerbliche Einkünfte/Mitunternehmer): dejure.org/gesetze/EStG</w:t>
      </w:r>
    </w:p>
    <w:p>
      <w:pPr>
        <w:pStyle w:val="ListBullet"/>
      </w:pPr>
      <w:r>
        <w:t>EStG § 18 (Freiberufliche Einkünfte): dejure.org/gesetze/EStG</w:t>
      </w:r>
    </w:p>
    <w:p>
      <w:pPr>
        <w:pStyle w:val="ListBullet"/>
      </w:pPr>
      <w:r>
        <w:t>KStG § 8 Abs. 3 (verdeckte Gewinnausschüttung): dejure.org/gesetze/KStG</w:t>
      </w:r>
    </w:p>
    <w:p>
      <w:pPr>
        <w:pStyle w:val="ListBullet"/>
      </w:pPr>
      <w:r>
        <w:t>GewStG §§ 2, 7 (Steuergegenstand, Gewerbeertrag): dejure.org/gesetze/GewStG</w:t>
      </w:r>
    </w:p>
    <w:p>
      <w:pPr>
        <w:pStyle w:val="ListBullet"/>
      </w:pPr>
      <w:r>
        <w:t>BFH, Urt. v. 10.07.1996, I R 138/93 (GmbH und Freiberuflichkeit): bundesgerichtshof.de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 Prof. Dr. Werner Kallenbrunner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STEUERBERATER PROF. DR. WERNER KALLENBRUNNER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Fachberatung Steuerrecht), Steuerberater Prof. Dr. Werner Kallenbrunner (extern, Köln) · Aktenzeichen: KBH-2026-001-EFS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