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Beteiligte und Marktstruktur — Bahnbetonschwellen Deutschland / EWR</w:t>
      </w:r>
    </w:p>
    <w:p>
      <w:pPr>
        <w:jc w:val="left"/>
      </w:pPr>
      <w:r>
        <w:t>Datum: 19. Februar 2026</w:t>
      </w:r>
    </w:p>
    <w:p>
      <w:pPr>
        <w:jc w:val="left"/>
      </w:pPr>
      <w:r>
        <w:t>Bearbeiter: RA Stefan Brinkmeier</w:t>
      </w:r>
    </w:p>
    <w:p>
      <w:pPr>
        <w:jc w:val="left"/>
      </w:pPr>
      <w:r>
        <w:t>Aktenzeichen: SW/2026/KA-0318 | BKartA B6-188-26</w:t>
      </w:r>
    </w:p>
    <w:p/>
    <w:p>
      <w:pPr>
        <w:pStyle w:val="Heading2"/>
      </w:pPr>
      <w:r>
        <w:rPr>
          <w:rFonts w:ascii="Times New Roman" w:hAnsi="Times New Roman"/>
        </w:rPr>
        <w:t>1. Übersicht der Beteiligten</w:t>
      </w:r>
    </w:p>
    <w:p>
      <w:pPr>
        <w:pStyle w:val="Heading3"/>
      </w:pPr>
      <w:r>
        <w:rPr>
          <w:rFonts w:ascii="Times New Roman" w:hAnsi="Times New Roman"/>
        </w:rPr>
        <w:t>1.1 Erwerber</w:t>
      </w:r>
    </w:p>
    <w:p>
      <w:pPr>
        <w:jc w:val="left"/>
      </w:pPr>
      <w:r>
        <w:rPr>
          <w:b/>
        </w:rPr>
        <w:t>Grosskopf Betonwerk Westfalen GmbH (GBW)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Münster, NRW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HRB 12340 Münster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Gründungsjahr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1962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188 (VZÄ, 31.12.2025)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2025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74,3 Mio. EUR gesamt; 58,1 Mio. EUR 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Hauptprodukte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Vorgespannte Betonschwellen, Weichenschwellen, Brückenschwellen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Marktanteil DE Bahnbetonschwellen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38 %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Tochtergesellschaft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GBW Nederland B.V., Venlo (100 %)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Zielgesellschaft</w:t>
      </w:r>
    </w:p>
    <w:p>
      <w:pPr>
        <w:jc w:val="left"/>
      </w:pPr>
      <w:r>
        <w:rPr>
          <w:b/>
        </w:rPr>
        <w:t>Tannenheim Betonelemente AG (TBA)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Bielefeld, NRW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HRB 9876 Bielefeld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Gründungsjahr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1978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94 (VZÄ, 31.12.2025)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2025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32,8 Mio. EUR gesamt; 29,1 Mio. EUR 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Hauptprodukte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Vorgespannte Betonschwellen, Sonderschwellen Straßenbahn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Marktanteil DE Bahnbetonschwellen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22 %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Alleiniger Fertigungsstandort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Bielefeld (Detmolder Straße 840)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1.3 Dritte Wettbewerber und Marktbeteiligte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Marktanteil DE (Schätzung)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Rehme Bahnbau GmbH &amp; Co.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Dortmund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Familienunternehmen, kein EWR-Export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Schienenwerk Lausitz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Cottbus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Ostnetz-Schwerpunkt, DB-Rahmenvertrag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Holzbahn Produkte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Rosenheim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Holz- und Kombi-Schwellen, Nischenanbieter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Importeure (AT, CZ, PL)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verschiedene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 allem Straßenbahn-Schwellen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1.4 Abnehmerseite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Abnehmer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Deutsche Bahn AG (DB Netz AG / DB InfraGO 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Großabnehmer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60 % aller DE-Bahnbetonschwellen; Rahmenverträge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ProRail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NL-Netzbetreiber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wichtigster EWR-Abnehmer GBW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Infrabel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BE-Netzbetreiber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zweitwichtigster EWR-Abnehmer GBW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Netz-Betreiber Ruhr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Regionalbahn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GBW-Stammkunde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Industriebahn-Betreiber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verschiedene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8 % Gesamtvolumen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Marktstruktur — Quantitative Übersicht</w:t>
      </w:r>
    </w:p>
    <w:p>
      <w:pPr>
        <w:pStyle w:val="Heading3"/>
      </w:pPr>
      <w:r>
        <w:rPr>
          <w:rFonts w:ascii="Times New Roman" w:hAnsi="Times New Roman"/>
        </w:rPr>
        <w:t>2.1 Marktvolumen DE (Segment Bahnbetonschwellen)</w:t>
      </w:r>
    </w:p>
    <w:p>
      <w:pPr>
        <w:jc w:val="left"/>
      </w:pPr>
      <w:r>
        <w:t>Das Gesamtmarktvolumen im relevanten Produktmarkt Bahnbetonschwellen Deutschland wird für 2025 auf ca. 153 Mio. EUR (Herstellerpreise, ex-works) geschätzt. Die Deutsche Bahn AG ist Haupttreiber — ihr Sanierungsprogramm Schienennetz bis 2030 erhöht die Nachfrage strukturell.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Wettbewerber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Umsatz DE 2025 (Mio.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Marktanteil 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GBW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58,1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TBA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29,1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Rehme Bahnbau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27,5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Schienenwerk Lausitz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18,4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/ Import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19,9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153,0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jc w:val="left"/>
      </w:pPr>
      <w:r>
        <w:rPr>
          <w:b/>
        </w:rPr>
        <w:t>Post-Merger-Marktanteil GBW + TBA: ca. 57 %</w:t>
      </w:r>
    </w:p>
    <w:p>
      <w:pPr>
        <w:jc w:val="left"/>
      </w:pPr>
      <w:r>
        <w:t>Dieser Wert überschreitet die Vermutungsgrenze des § 18 Abs. 4 GWB (&gt; 40 % = Vermutung der Marktbeherrschung) erheblich und löst intensive Prüfung aus.</w:t>
      </w:r>
    </w:p>
    <w:p>
      <w:pPr>
        <w:pStyle w:val="Heading3"/>
      </w:pPr>
      <w:r>
        <w:rPr>
          <w:rFonts w:ascii="Times New Roman" w:hAnsi="Times New Roman"/>
        </w:rPr>
        <w:t>2.2 Marktvolumen EWR (Bahnbetonschwellen, Schätzung)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Region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Volumen (Mio.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GBW-Anteil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TBA-Anteil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Deutschland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153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Niederlande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Belgien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Frankreich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98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Großbritannien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87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EWR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EWR 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601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11 %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4 %</w:t>
            </w:r>
          </w:p>
        </w:tc>
      </w:tr>
    </w:tbl>
    <w:p>
      <w:pPr>
        <w:jc w:val="left"/>
      </w:pPr>
      <w:r>
        <w:t>Bei EWR-weiter Marktabgrenzung erreicht das kombinierte Unternehmen lediglich ca. 15 % — unterhalb der Beherrschungsvermutungen. Dies macht die Frage der räumlichen Marktabgrenzung zu einem entscheidenden Streitpunkt (s. Aktenstück 05).</w:t>
      </w:r>
    </w:p>
    <w:p/>
    <w:p>
      <w:pPr>
        <w:pStyle w:val="Heading2"/>
      </w:pPr>
      <w:r>
        <w:rPr>
          <w:rFonts w:ascii="Times New Roman" w:hAnsi="Times New Roman"/>
        </w:rPr>
        <w:t>3. Strukturelle Marktmerkmale</w:t>
      </w:r>
    </w:p>
    <w:p>
      <w:pPr>
        <w:pStyle w:val="Heading3"/>
      </w:pPr>
      <w:r>
        <w:rPr>
          <w:rFonts w:ascii="Times New Roman" w:hAnsi="Times New Roman"/>
        </w:rPr>
        <w:t>3.1 Homogenität und Standardisierung</w:t>
      </w:r>
    </w:p>
    <w:p>
      <w:pPr>
        <w:jc w:val="left"/>
      </w:pPr>
      <w:r>
        <w:t>Bahnbetonschwellen sind weitgehend normierte Produkte. Maßgeblich sind:</w:t>
      </w:r>
    </w:p>
    <w:p>
      <w:pPr>
        <w:pStyle w:val="ListBullet"/>
      </w:pPr>
      <w:r>
        <w:t>DIN EN 13230 (Betonschwellen für Eisenbahnen) — harmonisierte europäische Norm</w:t>
      </w:r>
    </w:p>
    <w:p>
      <w:pPr>
        <w:pStyle w:val="ListBullet"/>
      </w:pPr>
      <w:r>
        <w:t>DB-Richtlinie 820.2009 (Anforderungen an Spannbetonschwellen für das DB-Netz)</w:t>
      </w:r>
    </w:p>
    <w:p>
      <w:pPr>
        <w:pStyle w:val="ListBullet"/>
      </w:pPr>
      <w:r>
        <w:t>Spezifische Lastenheftanforderungen von Netzbetreibern (ProRail, Infrabel)</w:t>
      </w:r>
    </w:p>
    <w:p>
      <w:pPr>
        <w:jc w:val="left"/>
      </w:pPr>
      <w:r>
        <w:t>Die hohe Normierung begünstigt eine enge Produktmarktabgrenzung, weil Hersteller ohne DB-Zulassung faktisch vom deutschen Markt ausgeschlossen sind.</w:t>
      </w:r>
    </w:p>
    <w:p>
      <w:pPr>
        <w:pStyle w:val="Heading3"/>
      </w:pPr>
      <w:r>
        <w:rPr>
          <w:rFonts w:ascii="Times New Roman" w:hAnsi="Times New Roman"/>
        </w:rPr>
        <w:t>3.2 Marktzutrittsschranken</w:t>
      </w:r>
    </w:p>
    <w:p>
      <w:pPr>
        <w:pStyle w:val="ListBullet"/>
      </w:pPr>
      <w:r>
        <w:rPr>
          <w:b/>
        </w:rPr>
        <w:t>Technische Schranken:</w:t>
      </w:r>
      <w:r>
        <w:t xml:space="preserve"> Herstellungszulassung nach DIN EN 13230 setzt Typprüfung, Werkprüfung und laufende Überwachung voraus (Zeitaufwand: 18–36 Monate).</w:t>
      </w:r>
    </w:p>
    <w:p>
      <w:pPr>
        <w:pStyle w:val="ListBullet"/>
      </w:pPr>
      <w:r>
        <w:rPr>
          <w:b/>
        </w:rPr>
        <w:t>Investitionsschranken:</w:t>
      </w:r>
      <w:r>
        <w:t xml:space="preserve"> Presswerk für Spannbetonschwellen: Investitionsvolumen typischerweise 15–25 Mio. EUR.</w:t>
      </w:r>
    </w:p>
    <w:p>
      <w:pPr>
        <w:pStyle w:val="ListBullet"/>
      </w:pPr>
      <w:r>
        <w:rPr>
          <w:b/>
        </w:rPr>
        <w:t>Zulassungsschranken:</w:t>
      </w:r>
      <w:r>
        <w:t xml:space="preserve"> Eintrag in die DB-Lieferantenliste erfordert Erstbemusterung und Betriebsbewährungsphase; Erfahrungswert 2–3 Jahre.</w:t>
      </w:r>
    </w:p>
    <w:p>
      <w:pPr>
        <w:pStyle w:val="ListBullet"/>
      </w:pPr>
      <w:r>
        <w:rPr>
          <w:b/>
        </w:rPr>
        <w:t>Transportkosten:</w:t>
      </w:r>
      <w:r>
        <w:t xml:space="preserve"> Schwellen sind transportkostenintensiv (Rohgewicht 250–320 kg/Stück). Transportradius wirtschaftlich ca. 400–600 km; dies begünstigt eine nationale Marktabgrenzung.</w:t>
      </w:r>
    </w:p>
    <w:p>
      <w:pPr>
        <w:pStyle w:val="Heading3"/>
      </w:pPr>
      <w:r>
        <w:rPr>
          <w:rFonts w:ascii="Times New Roman" w:hAnsi="Times New Roman"/>
        </w:rPr>
        <w:t>3.3 Nachfragekonzentration</w:t>
      </w:r>
    </w:p>
    <w:p>
      <w:pPr>
        <w:jc w:val="left"/>
      </w:pPr>
      <w:r>
        <w:t>Die Deutsche Bahn AG (seit 2024 DB InfraGO AG) verhandelt Rahmenverträge mit mehrjähriger Laufzeit. Durch ihre Marktmacht als Monopsonist (&gt; 60 % Nachfrageanteil DE) kann sie Preiskonditionen erheblich beeinflussen. Dies ist ein Argument dafür, dass trotz hohem Anbieter-Marktanteil wettbewerbliche Gegenkräfte wirken — relevant für die Marktbeherrschungsprüfung und die Efficiency Defense (Aktenstück 17).</w:t>
      </w:r>
    </w:p>
    <w:p>
      <w:pPr>
        <w:pStyle w:val="Heading3"/>
      </w:pPr>
      <w:r>
        <w:rPr>
          <w:rFonts w:ascii="Times New Roman" w:hAnsi="Times New Roman"/>
        </w:rPr>
        <w:t>3.4 Vertikale Integration</w:t>
      </w:r>
    </w:p>
    <w:p>
      <w:pPr>
        <w:jc w:val="left"/>
      </w:pPr>
      <w:r>
        <w:t>GBW produziert eigenen Beton-Ausgangsstoff nicht; Zement und Zuschlagstoffe werden am Markt bezogen. Keine vertikale Integration in den vorgelagerten Markt. TBA ebenfalls kein vertikaler Produzent. Der Zusammenschluss ist rein horizontal.</w:t>
      </w:r>
    </w:p>
    <w:p/>
    <w:p>
      <w:pPr>
        <w:pStyle w:val="Heading2"/>
      </w:pPr>
      <w:r>
        <w:rPr>
          <w:rFonts w:ascii="Times New Roman" w:hAnsi="Times New Roman"/>
        </w:rPr>
        <w:t>4. Parallelverfahren — Bußgeldsache</w:t>
      </w:r>
    </w:p>
    <w:p>
      <w:pPr>
        <w:jc w:val="left"/>
      </w:pPr>
      <w:r>
        <w:t>Das Bundeskartellamt führt unter dem Aktenzeichen B6-56/22 ein Bußgeldvorverfahren wegen des Verdachts von Preisabsprachen im Zeitraum 2018–2021 (§ 32 GWB). Beteiligte: GBW, TBA, Rehme Bahnbau sowie nach bisherigem Erkenntnisstand ein weiterer Hersteller. Das Zusammenschlussverfahren B6-188-26 wird vom selben Referat B6 geführt. Obwohl verfahrensrechtlich getrennt, hat das BKartA ein strukturelles Interesse daran, die Marktstruktur-Argumente beider Verfahren konsistent zu beurteilen. Die Kanzlei achtet darauf, keine Aussagen im Zusammenschlussverfahren zu machen, die im Bußgeldverfahren nachteilig verwendet werden könnten.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18 Abs. 4 GWB (Marktbeherrschungsvermutung): dejure.org/gesetze/GWB/18.html</w:t>
      </w:r>
    </w:p>
    <w:p>
      <w:pPr>
        <w:pStyle w:val="ListBullet"/>
      </w:pPr>
      <w:r>
        <w:t>DIN EN 13230 (Betonschwellen Normierung): DIN-Normwerk, zugänglich über Beuth Verlag</w:t>
      </w:r>
    </w:p>
    <w:p>
      <w:pPr>
        <w:pStyle w:val="ListBullet"/>
      </w:pPr>
      <w:r>
        <w:t>Art. 2 FKVO 139/2004: EUR-Lex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Grosskopf Betonwerk Westfalen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Grosskopf Betonwerk Westfalen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Aktenzeichen: SW/2026/KA-0318 | BKartA B6-188-2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