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Drittbeschwerden — Deutsche Bahn AG als Großabnehmer</w:t>
      </w:r>
    </w:p>
    <w:p>
      <w:pPr>
        <w:jc w:val="left"/>
      </w:pPr>
      <w:r>
        <w:t>Datum: 02. April 2026</w:t>
      </w:r>
    </w:p>
    <w:p>
      <w:pPr>
        <w:jc w:val="left"/>
      </w:pPr>
      <w:r>
        <w:t>Bearbeiter: RA Stefan Brinkmeier</w:t>
      </w:r>
    </w:p>
    <w:p>
      <w:pPr>
        <w:jc w:val="left"/>
      </w:pPr>
      <w:r>
        <w:t>Aktenzeichen: SW/2026/KA-0318 | EU COMP M.92188</w:t>
      </w:r>
    </w:p>
    <w:p/>
    <w:p>
      <w:pPr>
        <w:pStyle w:val="Heading2"/>
      </w:pPr>
      <w:r>
        <w:rPr>
          <w:rFonts w:ascii="Times New Roman" w:hAnsi="Times New Roman"/>
        </w:rPr>
        <w:t>1. Ausgangssituation</w:t>
      </w:r>
    </w:p>
    <w:p>
      <w:pPr>
        <w:jc w:val="left"/>
      </w:pPr>
      <w:r>
        <w:t>Am 28. März 2026 hat die DB InfraGO AG (handelnd durch den Konzernrechtsdienst, Frankfurt am Main, Rechtsabteilung Einkauf/Infrastruktur, Leiterin RA Dr. Sabine Kühnemann-Brost) ein Schreiben an die EU-Kommission (DG COMP) sowie gleichzeitig an das BKartA gerichtet, in dem sie bitte, die Auswirkungen des Zusammenschlusses auf die Beschaffungskonditionen für Bahnbetonschwellen eingehend zu prüfen.</w:t>
      </w:r>
    </w:p>
    <w:p>
      <w:pPr>
        <w:jc w:val="left"/>
      </w:pPr>
      <w:r>
        <w:t>Das Schreiben ist formal als "Stellungnahme eines von dem Zusammenschluss betroffenen Dritten" adressiert (Art. 18 Abs. 4 FKVO). Inhaltlich enthält es:</w:t>
      </w:r>
    </w:p>
    <w:p>
      <w:pPr>
        <w:pStyle w:val="ListNumber"/>
      </w:pPr>
      <w:r>
        <w:t>Eigene Marktanalyse: DB InfraGO AG beziffert ihren Beschaffungsbedarf auf ca. 2,4 Mio. Schwellen/Jahr (DE-Netz); davon 42 % von GBW, 23 % von TBA, 21 % von Rehme, Rest Lausitz und Import.</w:t>
      </w:r>
    </w:p>
    <w:p>
      <w:pPr>
        <w:pStyle w:val="ListNumber"/>
      </w:pPr>
      <w:r>
        <w:t>Preisbedenken: DB InfraGO befürchtet, dass die verringerte Wettbewerberanbieteranzahl zu Preiserhöhungen von 10–15 % im nächsten Vergabezyklus führt.</w:t>
      </w:r>
    </w:p>
    <w:p>
      <w:pPr>
        <w:pStyle w:val="ListNumber"/>
      </w:pPr>
      <w:r>
        <w:t>Versorgungs-Sicherheitsbedenken: Konzentration auf weniger Anbieter erhöhe das Ausfallrisiko bei Lieferengpässen.</w:t>
      </w:r>
    </w:p>
    <w:p>
      <w:pPr>
        <w:pStyle w:val="ListNumber"/>
      </w:pPr>
      <w:r>
        <w:t>Hinweis auf Bußgeldvorverfahren: DB InfraGO weist darauf hin, dass GBW und TBA als (vermutete) Kartellbeteiligte im Vorverfahren B6-56/22 bekannt sind. Die DB AG sei selbst Geschädigte etwaiger Preisabsprachen.</w:t>
      </w:r>
    </w:p>
    <w:p/>
    <w:p>
      <w:pPr>
        <w:pStyle w:val="Heading2"/>
      </w:pPr>
      <w:r>
        <w:rPr>
          <w:rFonts w:ascii="Times New Roman" w:hAnsi="Times New Roman"/>
        </w:rPr>
        <w:t>2. Rechtliche Einordnung der Drittbeteiligung</w:t>
      </w:r>
    </w:p>
    <w:p>
      <w:pPr>
        <w:pStyle w:val="Heading3"/>
      </w:pPr>
      <w:r>
        <w:rPr>
          <w:rFonts w:ascii="Times New Roman" w:hAnsi="Times New Roman"/>
        </w:rPr>
        <w:t>2.1 Verfahrensrechte nach FKVO</w:t>
      </w:r>
    </w:p>
    <w:p>
      <w:pPr>
        <w:jc w:val="left"/>
      </w:pPr>
      <w:r>
        <w:t>Nach Art. 18 Abs. 4 FKVO 139/2004 können von dem Zusammenschluss betroffene Dritte — insbesondere Abnehmer der fusionierenden Unternehmen — Stellungnahmen einreichen und haben das Recht auf Gehör, wenn sie ein ausreichendes Interesse nachweisen. (EUR-Lex FKVO)</w:t>
      </w:r>
    </w:p>
    <w:p>
      <w:pPr>
        <w:jc w:val="left"/>
      </w:pPr>
      <w:r>
        <w:t>Die DB InfraGO AG als Großabnehmer mit &gt; 60 % Beschaffungsanteil hat offensichtlich ein ausreichendes Interesse. Die Kommission wird ihr Gehör gewähren.</w:t>
      </w:r>
    </w:p>
    <w:p>
      <w:pPr>
        <w:pStyle w:val="Heading3"/>
      </w:pPr>
      <w:r>
        <w:rPr>
          <w:rFonts w:ascii="Times New Roman" w:hAnsi="Times New Roman"/>
        </w:rPr>
        <w:t>2.2 Keine formale Beschwerdemöglichkeit</w:t>
      </w:r>
    </w:p>
    <w:p>
      <w:pPr>
        <w:jc w:val="left"/>
      </w:pPr>
      <w:r>
        <w:t>Im Fusionskontrollrecht gibt es keine formale "Drittbeschwerde" wie im Kartellverbot-Bereich (Art. 7 VO 1/2003). Dritte können jedoch:</w:t>
      </w:r>
    </w:p>
    <w:p>
      <w:pPr>
        <w:pStyle w:val="ListBullet"/>
      </w:pPr>
      <w:r>
        <w:t>Im Rahmen des Markttest-Verfahrens zur geplanten Abhilfemaßnahme befragt werden (Bekanntmachung Abhilfemaßnahmen)</w:t>
      </w:r>
    </w:p>
    <w:p>
      <w:pPr>
        <w:pStyle w:val="ListBullet"/>
      </w:pPr>
      <w:r>
        <w:t>An der mündlichen Anhörung teilnehmen (auf Antrag)</w:t>
      </w:r>
    </w:p>
    <w:p>
      <w:pPr>
        <w:pStyle w:val="ListBullet"/>
      </w:pPr>
      <w:r>
        <w:t>Eine Nichtigkeitsklage gegen die Freigabeentscheidung erheben (Art. 263 AEUV) — nur soweit unmittelbar betroffen</w:t>
      </w:r>
    </w:p>
    <w:p>
      <w:pPr>
        <w:pStyle w:val="Heading3"/>
      </w:pPr>
      <w:r>
        <w:rPr>
          <w:rFonts w:ascii="Times New Roman" w:hAnsi="Times New Roman"/>
        </w:rPr>
        <w:t>2.3 GWB-Verfahren</w:t>
      </w:r>
    </w:p>
    <w:p>
      <w:pPr>
        <w:jc w:val="left"/>
      </w:pPr>
      <w:r>
        <w:t>Im BKartA-Verfahren (derzeit ausgesetzt) hätte die DB AG als Dritte gemäß § 54 GWB Verfahrensbeteiligungsrechte, wenn die Voraussetzungen des § 54 Abs. 2 Nr. 3 GWB vorliegen (Unternehmen, dessen Interessen durch die Entscheidung erheblich berührt werden). (dejure.org/gesetze/GWB/54.html) Die Versorgungs- und Preisinteressen der DB AG als größtem Einzelabnehmer begründen eine solche Berührung.</w:t>
      </w:r>
    </w:p>
    <w:p/>
    <w:p>
      <w:pPr>
        <w:pStyle w:val="Heading2"/>
      </w:pPr>
      <w:r>
        <w:rPr>
          <w:rFonts w:ascii="Times New Roman" w:hAnsi="Times New Roman"/>
        </w:rPr>
        <w:t>3. Reaktionsstrategie der Kanzlei</w:t>
      </w:r>
    </w:p>
    <w:p>
      <w:pPr>
        <w:pStyle w:val="Heading3"/>
      </w:pPr>
      <w:r>
        <w:rPr>
          <w:rFonts w:ascii="Times New Roman" w:hAnsi="Times New Roman"/>
        </w:rPr>
        <w:t>3.1 Bilaterale Kommunikation mit DB InfraGO</w:t>
      </w:r>
    </w:p>
    <w:p>
      <w:pPr>
        <w:jc w:val="left"/>
      </w:pPr>
      <w:r>
        <w:t>Die Kanzlei empfiehlt eine direkte, offene Kommunikation mit dem DB-Rechtsdienst. Ziel: Die DB AG zu einem "neutralen" oder sogar unterstützenden Statement zu bewegen. Argumente:</w:t>
      </w:r>
    </w:p>
    <w:p>
      <w:pPr>
        <w:pStyle w:val="ListBullet"/>
      </w:pPr>
      <w:r>
        <w:t>Carve-out Bielefeld (Aktenstück 12) erhält einen unabhängigen Wettbewerber — dies schützt die Versorgungssicherheit der DB AG.</w:t>
      </w:r>
    </w:p>
    <w:p>
      <w:pPr>
        <w:pStyle w:val="ListBullet"/>
      </w:pPr>
      <w:r>
        <w:t>GBW verpflichtet sich vertraglich zu stabilen Preisen im bestehenden Rahmenvertrag 2024–2028.</w:t>
      </w:r>
    </w:p>
    <w:p>
      <w:pPr>
        <w:pStyle w:val="ListBullet"/>
      </w:pPr>
      <w:r>
        <w:t>Fusion schafft durch Effizienzgewinne (Kostensenkung) Spielraum für moderate Preisgestaltung.</w:t>
      </w:r>
    </w:p>
    <w:p>
      <w:pPr>
        <w:pStyle w:val="ListBullet"/>
      </w:pPr>
      <w:r>
        <w:t>Eine zersplitterte TBA (insolvenzgefährdet) wäre schlechterer Lieferpartner als eine konsolidierte Einheit.</w:t>
      </w:r>
    </w:p>
    <w:p>
      <w:pPr>
        <w:pStyle w:val="Heading3"/>
      </w:pPr>
      <w:r>
        <w:rPr>
          <w:rFonts w:ascii="Times New Roman" w:hAnsi="Times New Roman"/>
        </w:rPr>
        <w:t>3.2 Schutzbehauptungen vermeiden</w:t>
      </w:r>
    </w:p>
    <w:p>
      <w:pPr>
        <w:jc w:val="left"/>
      </w:pPr>
      <w:r>
        <w:t>Die Kanzlei weist darauf hin, dass jede Aussage gegenüber der DB AG, die im Widerspruch zur Darstellung im Fusionskontrollverfahren steht, prozessual gefährlich sein kann. Insbesondere: Keine Aussagen über Preisentwicklungen, die mit dem parallel laufenden Bußgeldvorverfahren (Preisabstimmung 2018–2021) in Berührung kommen könnten. Jegliche Kommunikation ist intern schriftlich zu dokumentieren.</w:t>
      </w:r>
    </w:p>
    <w:p/>
    <w:p>
      <w:pPr>
        <w:pStyle w:val="Heading2"/>
      </w:pPr>
      <w:r>
        <w:rPr>
          <w:rFonts w:ascii="Times New Roman" w:hAnsi="Times New Roman"/>
        </w:rPr>
        <w:t>4. DB-Marktbefragung durch die Kommission</w:t>
      </w:r>
    </w:p>
    <w:p>
      <w:pPr>
        <w:jc w:val="left"/>
      </w:pPr>
      <w:r>
        <w:t>Die Kommission wird die DB InfraGO AG im Rahmen ihrer Phase-II-Marktbefragung als Abnehmer befragen. Erfahrungsgemäß stellt die Kommission folgende Fragenkomplexe:</w:t>
      </w:r>
    </w:p>
    <w:p>
      <w:pPr>
        <w:pStyle w:val="ListNumber"/>
      </w:pPr>
      <w:r>
        <w:t>Welchen Wettbewerbsdruck empfindet die DB AG durch verschiedene Anbieter?</w:t>
      </w:r>
    </w:p>
    <w:p>
      <w:pPr>
        <w:pStyle w:val="ListNumber"/>
      </w:pPr>
      <w:r>
        <w:t>Welche Ausweichmöglichkeiten bei Preiserhöhungen bestehen?</w:t>
      </w:r>
    </w:p>
    <w:p>
      <w:pPr>
        <w:pStyle w:val="ListNumber"/>
      </w:pPr>
      <w:r>
        <w:t>Wie würde sich der Zusammenschluss auf die Vergabeverhandlungen auswirken?</w:t>
      </w:r>
    </w:p>
    <w:p>
      <w:pPr>
        <w:pStyle w:val="ListNumber"/>
      </w:pPr>
      <w:r>
        <w:t>Welche Bedeutung hat die räumliche Herkunft der Anbieter (Transport)?</w:t>
      </w:r>
    </w:p>
    <w:p>
      <w:pPr>
        <w:pStyle w:val="ListNumber"/>
      </w:pPr>
      <w:r>
        <w:t>Wie bewertet die DB AG potentiellen Wettbewerb (neue Anbieter)?</w:t>
      </w:r>
    </w:p>
    <w:p>
      <w:pPr>
        <w:jc w:val="left"/>
      </w:pPr>
      <w:r>
        <w:t>Die Kanzlei hat ein Briefing-Papier erstellt, das die wirtschaftlichen Zusammenhänge aus GBW-Perspektive klar darstellt und für ein freiwilliges Informationsgespräch mit dem DB-Rechtsdienst genutzt werden kann.</w:t>
      </w:r>
    </w:p>
    <w:p/>
    <w:p>
      <w:pPr>
        <w:pStyle w:val="Heading2"/>
      </w:pPr>
      <w:r>
        <w:rPr>
          <w:rFonts w:ascii="Times New Roman" w:hAnsi="Times New Roman"/>
        </w:rPr>
        <w:t>5. Zeitlicher Ausblick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Drittstellungnahme DB InfraGO bei Kommission und BKartA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der Kanzlei (informell über DB-Rechtsdienst)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Bilaterales Gespräch Kanzlei / DB-Rechtsdienst (telefonisch)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Briefing-Papier an DB-Rechtsdienst übermittelt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Juni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DB InfraGO in Kommissions-Marktbefragung (Phase II)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Art. 18 Abs. 4 FKVO 139/2004: EUR-Lex</w:t>
      </w:r>
    </w:p>
    <w:p>
      <w:pPr>
        <w:pStyle w:val="ListBullet"/>
      </w:pPr>
      <w:r>
        <w:t>§ 54 GWB (Drittbeteiligung): dejure.org/gesetze/GWB/54.html</w:t>
      </w:r>
    </w:p>
    <w:p>
      <w:pPr>
        <w:pStyle w:val="ListBullet"/>
      </w:pPr>
      <w:r>
        <w:t>Art. 263 AEUV (Nichtigkeitsklage): dejure.org/gesetze/AEUV/263.html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Deutsche Bahn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Deutsche Bahn AG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Aktenzeichen: SW/2026/KA-0318 | EU COMP M.92188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