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Transrapid-Anbindung</w:t>
      </w:r>
    </w:p>
    <w:p>
      <w:pPr>
        <w:pStyle w:val="Heading2"/>
      </w:pPr>
      <w:r>
        <w:rPr>
          <w:rFonts w:ascii="Times New Roman" w:hAnsi="Times New Roman"/>
        </w:rPr>
        <w:t>Problem</w:t>
      </w:r>
    </w:p>
    <w:p>
      <w:pPr>
        <w:jc w:val="left"/>
      </w:pPr>
      <w:r>
        <w:t>Die geplante Magnetschwebebahn-Verbindung (8,4 km, zwei Haltepunkte: Anlage und P+R am Autobahnzubringer; optionale Verlängerung zum Forschungscampus) soll Material, Personal und Besucher transportieren. Die rechtliche Einordnung entscheidet über das gesamte Genehmigungsregime — und ist offen:</w:t>
      </w:r>
    </w:p>
    <w:p>
      <w:pPr>
        <w:pStyle w:val="Heading2"/>
      </w:pPr>
      <w:r>
        <w:rPr>
          <w:rFonts w:ascii="Times New Roman" w:hAnsi="Times New Roman"/>
        </w:rPr>
        <w:t>Vier Einordnungsvarianten und ihre Folgen</w:t>
      </w:r>
    </w:p>
    <w:p>
      <w:pPr>
        <w:pStyle w:val="Heading3"/>
      </w:pPr>
      <w:r>
        <w:rPr>
          <w:rFonts w:ascii="Times New Roman" w:hAnsi="Times New Roman"/>
        </w:rPr>
        <w:t>Variante 1: Magnetschwebebahn für den öffentlichen Verkehr</w:t>
      </w:r>
    </w:p>
    <w:p>
      <w:pPr>
        <w:pStyle w:val="ListBullet"/>
      </w:pPr>
      <w:r>
        <w:t xml:space="preserve">Rechtsgrundlage: </w:t>
      </w:r>
      <w:r>
        <w:rPr>
          <w:b/>
        </w:rPr>
        <w:t>Allgemeines Magnetschwebebahngesetz (AMbG)</w:t>
      </w:r>
      <w:r>
        <w:t xml:space="preserve"> mit </w:t>
      </w:r>
      <w:r>
        <w:rPr>
          <w:b/>
        </w:rPr>
        <w:t>Planfeststellung nach § 2 AMbG i.V.m. §§ 72 ff. VwVfG</w:t>
      </w:r>
      <w:r>
        <w:t>; Magnetschwebebahn-Bau- und Betriebsordnung (MbBO) für technische Anforderungen.</w:t>
      </w:r>
    </w:p>
    <w:p>
      <w:pPr>
        <w:pStyle w:val="ListBullet"/>
      </w:pPr>
      <w:r>
        <w:t>Folgen: volle Planfeststellung mit UVP (Anlage 1 UVPG: Magnetschwebebahnen sind UVP-pflichtig), Anhörungsverfahren, enteignungsrechtliche Vorwirkung (§ 5 AMbG), aber auch: Zugriff auf fremde Grundstücke möglich.</w:t>
      </w:r>
    </w:p>
    <w:p>
      <w:pPr>
        <w:pStyle w:val="ListBullet"/>
      </w:pPr>
      <w:r>
        <w:t>Aufsicht: Eisenbahn-Bundesamt als Plan- und Aufsichtsbehörde für Magnetschwebebahnen.</w:t>
      </w:r>
    </w:p>
    <w:p>
      <w:pPr>
        <w:pStyle w:val="Heading3"/>
      </w:pPr>
      <w:r>
        <w:rPr>
          <w:rFonts w:ascii="Times New Roman" w:hAnsi="Times New Roman"/>
        </w:rPr>
        <w:t>Variante 2: Nichtöffentliche Werksbahn</w:t>
      </w:r>
    </w:p>
    <w:p>
      <w:pPr>
        <w:pStyle w:val="ListBullet"/>
      </w:pPr>
      <w:r>
        <w:t>Wenn ausschließlich Werksverkehr (Material, eigenes Personal): Einordnung als nichtöffentliche Bahn besonderer Bauart; Genehmigungsregime dann primär landesrechtlich/gewerberechtlich, ohne enteignungsrechtliche Vorwirkung — alle Grundstücke müssen freihändig erworben werden (entlang der Trasse: 23 Eigentümer, davon 4 erklärt verkaufsunwillig).</w:t>
      </w:r>
    </w:p>
    <w:p>
      <w:pPr>
        <w:pStyle w:val="ListBullet"/>
      </w:pPr>
      <w:r>
        <w:t xml:space="preserve">Der geplante </w:t>
      </w:r>
      <w:r>
        <w:rPr>
          <w:b/>
        </w:rPr>
        <w:t>Besucherverkehr sprengt diese Variante</w:t>
      </w:r>
      <w:r>
        <w:t>: Sobald zahlende Besucher befördert werden, ist der Verkehr öffentlich.</w:t>
      </w:r>
    </w:p>
    <w:p>
      <w:pPr>
        <w:pStyle w:val="Heading3"/>
      </w:pPr>
      <w:r>
        <w:rPr>
          <w:rFonts w:ascii="Times New Roman" w:hAnsi="Times New Roman"/>
        </w:rPr>
        <w:t>Variante 3: Demonstrations-/Versuchsanlage</w:t>
      </w:r>
    </w:p>
    <w:p>
      <w:pPr>
        <w:pStyle w:val="ListBullet"/>
      </w:pPr>
      <w:r>
        <w:t>Befristeter Versuchsbetrieb ohne Beförderungszweck wäre als Versuchsstrecke einzuordnen; die MbBO bliebe Maßstab der Technik. Trägt aber weder Besucher- noch regulären Materialverkehr.</w:t>
      </w:r>
    </w:p>
    <w:p>
      <w:pPr>
        <w:pStyle w:val="Heading3"/>
      </w:pPr>
      <w:r>
        <w:rPr>
          <w:rFonts w:ascii="Times New Roman" w:hAnsi="Times New Roman"/>
        </w:rPr>
        <w:t>Variante 4: Seilbahn-/Sonderkonstruktion ausweichen</w:t>
      </w:r>
    </w:p>
    <w:p>
      <w:pPr>
        <w:pStyle w:val="ListBullet"/>
      </w:pPr>
      <w:r>
        <w:t>Politisch im Gespräch ("dann eben eine Gondel"): anderes Regime (BayESG), andere Topographie-Eignung — kein Transrapid mehr; nur als Rückfallebene dokumentieren.</w:t>
      </w:r>
    </w:p>
    <w:p>
      <w:pPr>
        <w:pStyle w:val="Heading2"/>
      </w:pPr>
      <w:r>
        <w:rPr>
          <w:rFonts w:ascii="Times New Roman" w:hAnsi="Times New Roman"/>
        </w:rPr>
        <w:t>Bewertung</w:t>
      </w:r>
    </w:p>
    <w:p>
      <w:pPr>
        <w:jc w:val="left"/>
      </w:pPr>
      <w:r>
        <w:t xml:space="preserve">Der gewünschte Mischbetrieb (Werk + Besucher) führt </w:t>
      </w:r>
      <w:r>
        <w:rPr>
          <w:b/>
        </w:rPr>
        <w:t>zwingend in Variante 1</w:t>
      </w:r>
      <w:r>
        <w:t>: Planfeststellung nach AMbG mit UVP, Anhörung, FFH-Vorprüfung für die Trasse (quert den Biotopkorridor am Nordhang). Realistischer Zeitansatz bis Plafeststellungsbeschluss: 4-6 Jahre; mit Klagen der Bürgerinitiative (Uferklar hat Verbandsklagebefugnis über einen anerkannten Umweltverband angekündigt): +2 Jahre. Das ist der kritische Pfad des Gesamtprojekts — länger als die Anlage selbst.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pStyle w:val="ListNumber"/>
      </w:pPr>
      <w:r>
        <w:rPr>
          <w:b/>
        </w:rPr>
        <w:t>Phasenentkopplung</w:t>
      </w:r>
      <w:r>
        <w:t>: Anlage zuerst (Straßenerschließung genügt für Bauphase), Transrapid als Phase 2 — sonst hängt die Anlagengenehmigung am Verkehrsprojekt.</w:t>
      </w:r>
    </w:p>
    <w:p>
      <w:pPr>
        <w:pStyle w:val="ListNumber"/>
      </w:pPr>
      <w:r>
        <w:t>Grunderwerbsverhandlungen mit den 4 verkaufsunwilligen Eigentümern früh beginnen; Planfeststellung als Druckmittel nicht vor Jahr 3 verfügbar.</w:t>
      </w:r>
    </w:p>
    <w:p>
      <w:pPr>
        <w:pStyle w:val="ListNumber"/>
      </w:pPr>
      <w:r>
        <w:t>Trassenvarianten (Bündelung mit Staatsstraße vs. Direkttrasse) für das ROV (Aktenstück 02) aufbereiten.</w:t>
      </w:r>
    </w:p>
    <w:p>
      <w:pPr>
        <w:pStyle w:val="ListNumber"/>
      </w:pPr>
      <w:r>
        <w:t>Kostenwahrheit in der Ministeriumsvorlage: 8,4 km Transrapid inkl. Fahrweg, Unterwerke, Betriebszentrale realistisch dreistelliger Millionenbetrag — gegen "Besucherattraktion" abwägen.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Aufsicht: Eisenbahn-Bundesamt als Plan- und Aufsichtsbehörde für Magnetschwebebahnen.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Aufsicht: Eisenbahn-Bundesamt als Plan- und Aufsichtsbehörde für Magnetschwebebahnen.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