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KI-Governance-Leitlinie Thalheim Industries SE — Entwurf v2.1</w:t>
      </w:r>
    </w:p>
    <w:p>
      <w:pPr>
        <w:jc w:val="left"/>
      </w:pPr>
      <w:r>
        <w:rPr>
          <w:b/>
        </w:rPr>
        <w:t>Aktenzeichen:</w:t>
      </w:r>
      <w:r>
        <w:t xml:space="preserve"> TI-KI-2026-007</w:t>
      </w:r>
    </w:p>
    <w:p>
      <w:pPr>
        <w:jc w:val="left"/>
      </w:pPr>
      <w:r>
        <w:rPr>
          <w:b/>
        </w:rPr>
        <w:t>Dokumentversion:</w:t>
      </w:r>
      <w:r>
        <w:t xml:space="preserve"> 2.1 (Entwurf, freigegeben zur Konsultation)</w:t>
      </w:r>
    </w:p>
    <w:p>
      <w:pPr>
        <w:jc w:val="left"/>
      </w:pPr>
      <w:r>
        <w:rPr>
          <w:b/>
        </w:rPr>
        <w:t>Erstellungsdatum:</w:t>
      </w:r>
      <w:r>
        <w:t xml:space="preserve"> 10. Februar 2026</w:t>
      </w:r>
    </w:p>
    <w:p>
      <w:pPr>
        <w:jc w:val="left"/>
      </w:pPr>
      <w:r>
        <w:rPr>
          <w:b/>
        </w:rPr>
        <w:t>Verfasser:</w:t>
      </w:r>
      <w:r>
        <w:t xml:space="preserve"> Dr. Falk Roosendaal, KI-Komitee-Vorsitz; Annegret Kühnhausen, CCO</w:t>
      </w:r>
    </w:p>
    <w:p>
      <w:pPr>
        <w:jc w:val="left"/>
      </w:pPr>
      <w:r>
        <w:rPr>
          <w:b/>
        </w:rPr>
        <w:t>Freigabe ausstehend:</w:t>
      </w:r>
      <w:r>
        <w:t xml:space="preserve"> Vorstand (geplant 15. April 2026)</w:t>
      </w:r>
    </w:p>
    <w:p/>
    <w:p>
      <w:pPr>
        <w:pStyle w:val="Heading2"/>
      </w:pPr>
      <w:r>
        <w:rPr>
          <w:rFonts w:ascii="Times New Roman" w:hAnsi="Times New Roman"/>
        </w:rPr>
        <w:t>1. Zweck und Geltungsbereich</w:t>
      </w:r>
    </w:p>
    <w:p>
      <w:pPr>
        <w:jc w:val="left"/>
      </w:pPr>
      <w:r>
        <w:t>Diese Leitlinie regelt den verantwortungsvollen Einsatz von Systemen künstlicher Intelligenz (KI-Systeme) innerhalb der Thalheim Industries SE sowie aller in- und ausländischen Tochtergesellschaften, sofern diese in der EU tätig sind oder EU-Bürger als Nutzer oder Betroffene haben.</w:t>
      </w:r>
    </w:p>
    <w:p>
      <w:pPr>
        <w:jc w:val="left"/>
      </w:pPr>
      <w:r>
        <w:t>Die Leitlinie dient der Umsetzung der Anforderungen der Verordnung (EU) 2024/1689 des Europäischen Parlaments und des Rates vom 13. Juni 2024 über künstliche Intelligenz (KI-Verordnung, KI-VO) sowie der ergänzenden datenschutzrechtlichen Anforderungen aus der Datenschutz-Grundverordnung (DSGVO, Verordnung (EU) 2016/679).</w:t>
      </w:r>
    </w:p>
    <w:p>
      <w:pPr>
        <w:jc w:val="left"/>
      </w:pPr>
      <w:r>
        <w:t>Sie schafft konzernweit verbindliche Mindeststandards für:</w:t>
      </w:r>
    </w:p>
    <w:p>
      <w:pPr>
        <w:pStyle w:val="ListBullet"/>
      </w:pPr>
      <w:r>
        <w:t>die Inventarisierung und Klassifikation von KI-Systemen (vgl. Abschnitt 3);</w:t>
      </w:r>
    </w:p>
    <w:p>
      <w:pPr>
        <w:pStyle w:val="ListBullet"/>
      </w:pPr>
      <w:r>
        <w:t>die Risikosteuerung, insbesondere bei Hochrisiko-KI-Systemen nach Art. 6 i.V.m. Anhang III KI-VO;</w:t>
      </w:r>
    </w:p>
    <w:p>
      <w:pPr>
        <w:pStyle w:val="ListBullet"/>
      </w:pPr>
      <w:r>
        <w:t>die Erfüllung von Betreiber- und Anbieterpflichten nach Art. 9–17 KI-VO;</w:t>
      </w:r>
    </w:p>
    <w:p>
      <w:pPr>
        <w:pStyle w:val="ListBullet"/>
      </w:pPr>
      <w:r>
        <w:t>die Sicherstellung von KI-Kompetenz bei allen Mitarbeitern nach Art. 4 KI-VO;</w:t>
      </w:r>
    </w:p>
    <w:p>
      <w:pPr>
        <w:pStyle w:val="ListBullet"/>
      </w:pPr>
      <w:r>
        <w:t>die Integration in bestehende Compliance- und Datenschutzprozesse.</w:t>
      </w:r>
    </w:p>
    <w:p>
      <w:pPr>
        <w:jc w:val="left"/>
      </w:pPr>
      <w:r>
        <w:t>Diese Leitlinie gilt für alle Beschäftigten, Führungskräfte, Auftragnehmer und Dienstleister, die KI-Systeme im Auftrag oder für Zwecke der Thalheim Industries SE einsetzen.</w:t>
      </w:r>
    </w:p>
    <w:p/>
    <w:p>
      <w:pPr>
        <w:pStyle w:val="Heading2"/>
      </w:pPr>
      <w:r>
        <w:rPr>
          <w:rFonts w:ascii="Times New Roman" w:hAnsi="Times New Roman"/>
        </w:rPr>
        <w:t>2. Grundsätze</w:t>
      </w:r>
    </w:p>
    <w:p>
      <w:pPr>
        <w:jc w:val="left"/>
      </w:pPr>
      <w:r>
        <w:t>Der Einsatz von KI-Systemen bei Thalheim Industries SE richtet sich nach folgenden Grundsätzen:</w:t>
      </w:r>
    </w:p>
    <w:p>
      <w:pPr>
        <w:jc w:val="left"/>
      </w:pPr>
      <w:r>
        <w:rPr>
          <w:b/>
        </w:rPr>
        <w:t>2.1 Rechtmäßigkeit:</w:t>
      </w:r>
      <w:r>
        <w:t xml:space="preserve"> KI-Systeme werden nur eingesetzt, wenn sie die anwendbaren Rechtsvorschriften einhalten, insbesondere die KI-VO, die DSGVO sowie sektorspezifische Regulierung (z. B. Kreditwesengesetz, Finanzmarktregulierung).</w:t>
      </w:r>
    </w:p>
    <w:p>
      <w:pPr>
        <w:jc w:val="left"/>
      </w:pPr>
      <w:r>
        <w:rPr>
          <w:b/>
        </w:rPr>
        <w:t>2.2 Menschliche Aufsicht:</w:t>
      </w:r>
      <w:r>
        <w:t xml:space="preserve"> Bei allen Hochrisiko-KI-Systemen nach Art. 6 i.V.m. Anhang III KI-VO ist eine wirksame menschliche Aufsicht nach Art. 14 KI-VO sicherzustellen. KI-Systeme treffen keine abschließenden Entscheidungen mit wesentlichen Folgen für natürliche Personen ohne Möglichkeit menschlicher Überprüfung und Korrektur.</w:t>
      </w:r>
    </w:p>
    <w:p>
      <w:pPr>
        <w:jc w:val="left"/>
      </w:pPr>
      <w:r>
        <w:rPr>
          <w:b/>
        </w:rPr>
        <w:t>2.3 Transparenz:</w:t>
      </w:r>
      <w:r>
        <w:t xml:space="preserve"> Der Einsatz von KI-Systemen, insbesondere gegenüber betroffenen Personen, ist in angemessener Weise offenzulegen. Für KI-Systeme mit Transparenzpflichten nach Art. 50 KI-VO (Chatbots, synthetische Inhalte) sind entsprechende Hinweispflichten umzusetzen.</w:t>
      </w:r>
    </w:p>
    <w:p>
      <w:pPr>
        <w:jc w:val="left"/>
      </w:pPr>
      <w:r>
        <w:rPr>
          <w:b/>
        </w:rPr>
        <w:t>2.4 Nicht-Diskriminierung und Fairness:</w:t>
      </w:r>
      <w:r>
        <w:t xml:space="preserve"> KI-Systeme, die in personenbezogenen Entscheidungsprozessen eingesetzt werden (insbesondere RecruitAI), sind auf Verzerrungen (Bias) zu testen und zu überwachen. Systematische Diskriminierungen nach Art. 9 Abs. 7 KI-VO sind zu vermeiden.</w:t>
      </w:r>
    </w:p>
    <w:p>
      <w:pPr>
        <w:jc w:val="left"/>
      </w:pPr>
      <w:r>
        <w:rPr>
          <w:b/>
        </w:rPr>
        <w:t>2.5 Datenschutz by Design:</w:t>
      </w:r>
      <w:r>
        <w:t xml:space="preserve"> Die Einführung neuer KI-Systeme erfolgt unter Einbeziehung der Datenschutzbeauftragten Dr. Carla Eichenmüller ab der Planungsphase. Soweit erforderlich, ist eine Datenschutz-Folgenabschätzung nach Art. 35 DSGVO durchzuführen.</w:t>
      </w:r>
    </w:p>
    <w:p>
      <w:pPr>
        <w:jc w:val="left"/>
      </w:pPr>
      <w:r>
        <w:rPr>
          <w:b/>
        </w:rPr>
        <w:t>2.6 Nachhaltigkeit und Rechenschaftspflicht:</w:t>
      </w:r>
      <w:r>
        <w:t xml:space="preserve"> Der Vorstand trägt die Gesamtverantwortung für die KI-Governance im Konzern. Die Geschäftsleitung haftet nach § 93 Abs. 1 AktG für die Einhaltung dieser Leitlinie (vgl. Literaturverweis: https://dejure.org/gesetze/AktG/93.html).</w:t>
      </w:r>
    </w:p>
    <w:p/>
    <w:p>
      <w:pPr>
        <w:pStyle w:val="Heading2"/>
      </w:pPr>
      <w:r>
        <w:rPr>
          <w:rFonts w:ascii="Times New Roman" w:hAnsi="Times New Roman"/>
        </w:rPr>
        <w:t>3. KI-Inventar und Klassifikation</w:t>
      </w:r>
    </w:p>
    <w:p>
      <w:pPr>
        <w:jc w:val="left"/>
      </w:pPr>
      <w:r>
        <w:rPr>
          <w:b/>
        </w:rPr>
        <w:t>3.1 KI-Inventar:</w:t>
      </w:r>
      <w:r>
        <w:t xml:space="preserve"> Sämtliche im Konzern eingesetzten KI-Systeme sind im zentralen KI-Inventar zu registrieren und zu pflegen. Das CDO-Büro (Marcus Petersen) verantwortet die technische Führung des Inventars. Die Erstinventarisierung wurde im Rahmen der Projektphase 1 (Oktober–Dezember 2025) durchgeführt; 23 Systeme wurden erfasst.</w:t>
      </w:r>
    </w:p>
    <w:p>
      <w:pPr>
        <w:jc w:val="left"/>
      </w:pPr>
      <w:r>
        <w:rPr>
          <w:b/>
        </w:rPr>
        <w:t>3.2 Risikoklassifikation:</w:t>
      </w:r>
      <w:r>
        <w:t xml:space="preserve"> Jedes KI-System ist nach dem Risikoschema der KI-VO einzustufen: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Risikoklasse</w:t>
            </w:r>
          </w:p>
        </w:tc>
        <w:tc>
          <w:tcPr>
            <w:tcW w:type="dxa" w:w="3024"/>
          </w:tcPr>
          <w:p>
            <w:r>
              <w:rPr>
                <w:rFonts w:ascii="Times New Roman" w:hAnsi="Times New Roman"/>
                <w:b/>
                <w:sz w:val="20"/>
              </w:rPr>
              <w:t>Grundlage KI-VO</w:t>
            </w:r>
          </w:p>
        </w:tc>
        <w:tc>
          <w:tcPr>
            <w:tcW w:type="dxa" w:w="3024"/>
          </w:tcPr>
          <w:p>
            <w:r>
              <w:rPr>
                <w:rFonts w:ascii="Times New Roman" w:hAnsi="Times New Roman"/>
                <w:b/>
                <w:sz w:val="20"/>
              </w:rPr>
              <w:t>Beispiel Thalheim</w:t>
            </w:r>
          </w:p>
        </w:tc>
      </w:tr>
      <w:tr>
        <w:tc>
          <w:tcPr>
            <w:tcW w:type="dxa" w:w="3024"/>
          </w:tcPr>
          <w:p>
            <w:r>
              <w:rPr>
                <w:rFonts w:ascii="Times New Roman" w:hAnsi="Times New Roman"/>
                <w:sz w:val="20"/>
              </w:rPr>
              <w:t>Unannehmbares Risiko (verboten)</w:t>
            </w:r>
          </w:p>
        </w:tc>
        <w:tc>
          <w:tcPr>
            <w:tcW w:type="dxa" w:w="3024"/>
          </w:tcPr>
          <w:p>
            <w:r>
              <w:rPr>
                <w:rFonts w:ascii="Times New Roman" w:hAnsi="Times New Roman"/>
                <w:sz w:val="20"/>
              </w:rPr>
              <w:t>Art. 5 KI-VO</w:t>
            </w:r>
          </w:p>
        </w:tc>
        <w:tc>
          <w:tcPr>
            <w:tcW w:type="dxa" w:w="3024"/>
          </w:tcPr>
          <w:p>
            <w:r>
              <w:rPr>
                <w:rFonts w:ascii="Times New Roman" w:hAnsi="Times New Roman"/>
                <w:sz w:val="20"/>
              </w:rPr>
              <w:t>— (keines identifiziert)</w:t>
            </w:r>
          </w:p>
        </w:tc>
      </w:tr>
      <w:tr>
        <w:tc>
          <w:tcPr>
            <w:tcW w:type="dxa" w:w="3024"/>
          </w:tcPr>
          <w:p>
            <w:r>
              <w:rPr>
                <w:rFonts w:ascii="Times New Roman" w:hAnsi="Times New Roman"/>
                <w:sz w:val="20"/>
              </w:rPr>
              <w:t>Hochrisiko</w:t>
            </w:r>
          </w:p>
        </w:tc>
        <w:tc>
          <w:tcPr>
            <w:tcW w:type="dxa" w:w="3024"/>
          </w:tcPr>
          <w:p>
            <w:r>
              <w:rPr>
                <w:rFonts w:ascii="Times New Roman" w:hAnsi="Times New Roman"/>
                <w:sz w:val="20"/>
              </w:rPr>
              <w:t>Art. 6, Anh. III KI-VO</w:t>
            </w:r>
          </w:p>
        </w:tc>
        <w:tc>
          <w:tcPr>
            <w:tcW w:type="dxa" w:w="3024"/>
          </w:tcPr>
          <w:p>
            <w:r>
              <w:rPr>
                <w:rFonts w:ascii="Times New Roman" w:hAnsi="Times New Roman"/>
                <w:sz w:val="20"/>
              </w:rPr>
              <w:t>RecruitAI, CreditVision Score</w:t>
            </w:r>
          </w:p>
        </w:tc>
      </w:tr>
      <w:tr>
        <w:tc>
          <w:tcPr>
            <w:tcW w:type="dxa" w:w="3024"/>
          </w:tcPr>
          <w:p>
            <w:r>
              <w:rPr>
                <w:rFonts w:ascii="Times New Roman" w:hAnsi="Times New Roman"/>
                <w:sz w:val="20"/>
              </w:rPr>
              <w:t>Begrenztes Risiko</w:t>
            </w:r>
          </w:p>
        </w:tc>
        <w:tc>
          <w:tcPr>
            <w:tcW w:type="dxa" w:w="3024"/>
          </w:tcPr>
          <w:p>
            <w:r>
              <w:rPr>
                <w:rFonts w:ascii="Times New Roman" w:hAnsi="Times New Roman"/>
                <w:sz w:val="20"/>
              </w:rPr>
              <w:t>Art. 50 KI-VO</w:t>
            </w:r>
          </w:p>
        </w:tc>
        <w:tc>
          <w:tcPr>
            <w:tcW w:type="dxa" w:w="3024"/>
          </w:tcPr>
          <w:p>
            <w:r>
              <w:rPr>
                <w:rFonts w:ascii="Times New Roman" w:hAnsi="Times New Roman"/>
                <w:sz w:val="20"/>
              </w:rPr>
              <w:t>ServiceBot, CodeAssist, PredictMaint</w:t>
            </w:r>
          </w:p>
        </w:tc>
      </w:tr>
      <w:tr>
        <w:tc>
          <w:tcPr>
            <w:tcW w:type="dxa" w:w="3024"/>
          </w:tcPr>
          <w:p>
            <w:r>
              <w:rPr>
                <w:rFonts w:ascii="Times New Roman" w:hAnsi="Times New Roman"/>
                <w:sz w:val="20"/>
              </w:rPr>
              <w:t>Minimales Risiko</w:t>
            </w:r>
          </w:p>
        </w:tc>
        <w:tc>
          <w:tcPr>
            <w:tcW w:type="dxa" w:w="3024"/>
          </w:tcPr>
          <w:p>
            <w:r>
              <w:rPr>
                <w:rFonts w:ascii="Times New Roman" w:hAnsi="Times New Roman"/>
                <w:sz w:val="20"/>
              </w:rPr>
              <w:t>—</w:t>
            </w:r>
          </w:p>
        </w:tc>
        <w:tc>
          <w:tcPr>
            <w:tcW w:type="dxa" w:w="3024"/>
          </w:tcPr>
          <w:p>
            <w:r>
              <w:rPr>
                <w:rFonts w:ascii="Times New Roman" w:hAnsi="Times New Roman"/>
                <w:sz w:val="20"/>
              </w:rPr>
              <w:t>Spam-Filter, Rechtschreibkorrektur</w:t>
            </w:r>
          </w:p>
        </w:tc>
      </w:tr>
    </w:tbl>
    <w:p>
      <w:pPr>
        <w:jc w:val="left"/>
      </w:pPr>
      <w:r>
        <w:t>Die vollständige Klassifikationsmatrix ist in Aktenstück 02 (TI-KI-2026-008) dokumentiert.</w:t>
      </w:r>
    </w:p>
    <w:p>
      <w:pPr>
        <w:jc w:val="left"/>
      </w:pPr>
      <w:r>
        <w:rPr>
          <w:b/>
        </w:rPr>
        <w:t>3.3 Neueinführungen:</w:t>
      </w:r>
      <w:r>
        <w:t xml:space="preserve"> Jede Neueinführung oder wesentliche Änderung eines KI-Systems erfordert einen KI-Freigabeprozess (KI-Clearance), der eine Risikoklassifikation, eine datenschutzrechtliche Vorabprüfung und — bei Hochrisiko — eine vollständige Konformitätsprüfung umfasst.</w:t>
      </w:r>
    </w:p>
    <w:p/>
    <w:p>
      <w:pPr>
        <w:pStyle w:val="Heading2"/>
      </w:pPr>
      <w:r>
        <w:rPr>
          <w:rFonts w:ascii="Times New Roman" w:hAnsi="Times New Roman"/>
        </w:rPr>
        <w:t>4. Governance-Struktur</w:t>
      </w:r>
    </w:p>
    <w:p>
      <w:pPr>
        <w:jc w:val="left"/>
      </w:pPr>
      <w:r>
        <w:rPr>
          <w:b/>
        </w:rPr>
        <w:t>4.1 KI-Komitee:</w:t>
      </w:r>
      <w:r>
        <w:t xml:space="preserve"> Das KI-Komitee (Vorsitz: Dr. Falk Roosendaal) ist das zentrale Steuerungsgremium für alle Fragen der KI-Governance. Es tagt quartalsweise und bei Bedarf. Mitglieder sind: CIO Dr. Wolfsbacher, CDO Marcus Petersen, CCO Annegret Kühnhausen, DSB Dr. Eichenmüller sowie Vertreter der Fachbereiche.</w:t>
      </w:r>
    </w:p>
    <w:p>
      <w:pPr>
        <w:jc w:val="left"/>
      </w:pPr>
      <w:r>
        <w:rPr>
          <w:b/>
        </w:rPr>
        <w:t>4.2 Verantwortlichkeiten: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Rolle</w:t>
            </w:r>
          </w:p>
        </w:tc>
        <w:tc>
          <w:tcPr>
            <w:tcW w:type="dxa" w:w="3024"/>
          </w:tcPr>
          <w:p>
            <w:r>
              <w:rPr>
                <w:rFonts w:ascii="Times New Roman" w:hAnsi="Times New Roman"/>
                <w:b/>
                <w:sz w:val="20"/>
              </w:rPr>
              <w:t>Funktion</w:t>
            </w:r>
          </w:p>
        </w:tc>
        <w:tc>
          <w:tcPr>
            <w:tcW w:type="dxa" w:w="3024"/>
          </w:tcPr>
          <w:p>
            <w:r>
              <w:rPr>
                <w:rFonts w:ascii="Times New Roman" w:hAnsi="Times New Roman"/>
                <w:b/>
                <w:sz w:val="20"/>
              </w:rPr>
              <w:t>Zuständigkeit</w:t>
            </w:r>
          </w:p>
        </w:tc>
      </w:tr>
      <w:tr>
        <w:tc>
          <w:tcPr>
            <w:tcW w:type="dxa" w:w="3024"/>
          </w:tcPr>
          <w:p>
            <w:r>
              <w:rPr>
                <w:rFonts w:ascii="Times New Roman" w:hAnsi="Times New Roman"/>
                <w:sz w:val="20"/>
              </w:rPr>
              <w:t>CEO Dr. Thalheim-Lattermann</w:t>
            </w:r>
          </w:p>
        </w:tc>
        <w:tc>
          <w:tcPr>
            <w:tcW w:type="dxa" w:w="3024"/>
          </w:tcPr>
          <w:p>
            <w:r>
              <w:rPr>
                <w:rFonts w:ascii="Times New Roman" w:hAnsi="Times New Roman"/>
                <w:sz w:val="20"/>
              </w:rPr>
              <w:t>Vorstand</w:t>
            </w:r>
          </w:p>
        </w:tc>
        <w:tc>
          <w:tcPr>
            <w:tcW w:type="dxa" w:w="3024"/>
          </w:tcPr>
          <w:p>
            <w:r>
              <w:rPr>
                <w:rFonts w:ascii="Times New Roman" w:hAnsi="Times New Roman"/>
                <w:sz w:val="20"/>
              </w:rPr>
              <w:t>Gesamtverantwortung, AktG § 93</w:t>
            </w:r>
          </w:p>
        </w:tc>
      </w:tr>
      <w:tr>
        <w:tc>
          <w:tcPr>
            <w:tcW w:type="dxa" w:w="3024"/>
          </w:tcPr>
          <w:p>
            <w:r>
              <w:rPr>
                <w:rFonts w:ascii="Times New Roman" w:hAnsi="Times New Roman"/>
                <w:sz w:val="20"/>
              </w:rPr>
              <w:t>CIO Dr. Wolfsbacher</w:t>
            </w:r>
          </w:p>
        </w:tc>
        <w:tc>
          <w:tcPr>
            <w:tcW w:type="dxa" w:w="3024"/>
          </w:tcPr>
          <w:p>
            <w:r>
              <w:rPr>
                <w:rFonts w:ascii="Times New Roman" w:hAnsi="Times New Roman"/>
                <w:sz w:val="20"/>
              </w:rPr>
              <w:t>Technik</w:t>
            </w:r>
          </w:p>
        </w:tc>
        <w:tc>
          <w:tcPr>
            <w:tcW w:type="dxa" w:w="3024"/>
          </w:tcPr>
          <w:p>
            <w:r>
              <w:rPr>
                <w:rFonts w:ascii="Times New Roman" w:hAnsi="Times New Roman"/>
                <w:sz w:val="20"/>
              </w:rPr>
              <w:t>KI-Infrastruktur, Auditbereitschaft</w:t>
            </w:r>
          </w:p>
        </w:tc>
      </w:tr>
      <w:tr>
        <w:tc>
          <w:tcPr>
            <w:tcW w:type="dxa" w:w="3024"/>
          </w:tcPr>
          <w:p>
            <w:r>
              <w:rPr>
                <w:rFonts w:ascii="Times New Roman" w:hAnsi="Times New Roman"/>
                <w:sz w:val="20"/>
              </w:rPr>
              <w:t>CDO Marcus Petersen</w:t>
            </w:r>
          </w:p>
        </w:tc>
        <w:tc>
          <w:tcPr>
            <w:tcW w:type="dxa" w:w="3024"/>
          </w:tcPr>
          <w:p>
            <w:r>
              <w:rPr>
                <w:rFonts w:ascii="Times New Roman" w:hAnsi="Times New Roman"/>
                <w:sz w:val="20"/>
              </w:rPr>
              <w:t>Daten</w:t>
            </w:r>
          </w:p>
        </w:tc>
        <w:tc>
          <w:tcPr>
            <w:tcW w:type="dxa" w:w="3024"/>
          </w:tcPr>
          <w:p>
            <w:r>
              <w:rPr>
                <w:rFonts w:ascii="Times New Roman" w:hAnsi="Times New Roman"/>
                <w:sz w:val="20"/>
              </w:rPr>
              <w:t>KI-Inventar, Datenqualität</w:t>
            </w:r>
          </w:p>
        </w:tc>
      </w:tr>
      <w:tr>
        <w:tc>
          <w:tcPr>
            <w:tcW w:type="dxa" w:w="3024"/>
          </w:tcPr>
          <w:p>
            <w:r>
              <w:rPr>
                <w:rFonts w:ascii="Times New Roman" w:hAnsi="Times New Roman"/>
                <w:sz w:val="20"/>
              </w:rPr>
              <w:t>CCO Annegret Kühnhausen</w:t>
            </w:r>
          </w:p>
        </w:tc>
        <w:tc>
          <w:tcPr>
            <w:tcW w:type="dxa" w:w="3024"/>
          </w:tcPr>
          <w:p>
            <w:r>
              <w:rPr>
                <w:rFonts w:ascii="Times New Roman" w:hAnsi="Times New Roman"/>
                <w:sz w:val="20"/>
              </w:rPr>
              <w:t>Compliance</w:t>
            </w:r>
          </w:p>
        </w:tc>
        <w:tc>
          <w:tcPr>
            <w:tcW w:type="dxa" w:w="3024"/>
          </w:tcPr>
          <w:p>
            <w:r>
              <w:rPr>
                <w:rFonts w:ascii="Times New Roman" w:hAnsi="Times New Roman"/>
                <w:sz w:val="20"/>
              </w:rPr>
              <w:t>KI-VO-Konformität, Behördenkontakt</w:t>
            </w:r>
          </w:p>
        </w:tc>
      </w:tr>
      <w:tr>
        <w:tc>
          <w:tcPr>
            <w:tcW w:type="dxa" w:w="3024"/>
          </w:tcPr>
          <w:p>
            <w:r>
              <w:rPr>
                <w:rFonts w:ascii="Times New Roman" w:hAnsi="Times New Roman"/>
                <w:sz w:val="20"/>
              </w:rPr>
              <w:t>DSB Dr. Eichenmüller</w:t>
            </w:r>
          </w:p>
        </w:tc>
        <w:tc>
          <w:tcPr>
            <w:tcW w:type="dxa" w:w="3024"/>
          </w:tcPr>
          <w:p>
            <w:r>
              <w:rPr>
                <w:rFonts w:ascii="Times New Roman" w:hAnsi="Times New Roman"/>
                <w:sz w:val="20"/>
              </w:rPr>
              <w:t>Datenschutz</w:t>
            </w:r>
          </w:p>
        </w:tc>
        <w:tc>
          <w:tcPr>
            <w:tcW w:type="dxa" w:w="3024"/>
          </w:tcPr>
          <w:p>
            <w:r>
              <w:rPr>
                <w:rFonts w:ascii="Times New Roman" w:hAnsi="Times New Roman"/>
                <w:sz w:val="20"/>
              </w:rPr>
              <w:t>DSGVO, DPIA, LfDI-Kontakt</w:t>
            </w:r>
          </w:p>
        </w:tc>
      </w:tr>
      <w:tr>
        <w:tc>
          <w:tcPr>
            <w:tcW w:type="dxa" w:w="3024"/>
          </w:tcPr>
          <w:p>
            <w:r>
              <w:rPr>
                <w:rFonts w:ascii="Times New Roman" w:hAnsi="Times New Roman"/>
                <w:sz w:val="20"/>
              </w:rPr>
              <w:t>KI-Komitee-Vorsitz Dr. Roosendaal</w:t>
            </w:r>
          </w:p>
        </w:tc>
        <w:tc>
          <w:tcPr>
            <w:tcW w:type="dxa" w:w="3024"/>
          </w:tcPr>
          <w:p>
            <w:r>
              <w:rPr>
                <w:rFonts w:ascii="Times New Roman" w:hAnsi="Times New Roman"/>
                <w:sz w:val="20"/>
              </w:rPr>
              <w:t>Governance</w:t>
            </w:r>
          </w:p>
        </w:tc>
        <w:tc>
          <w:tcPr>
            <w:tcW w:type="dxa" w:w="3024"/>
          </w:tcPr>
          <w:p>
            <w:r>
              <w:rPr>
                <w:rFonts w:ascii="Times New Roman" w:hAnsi="Times New Roman"/>
                <w:sz w:val="20"/>
              </w:rPr>
              <w:t>Koordination, Eskalation</w:t>
            </w:r>
          </w:p>
        </w:tc>
      </w:tr>
      <w:tr>
        <w:tc>
          <w:tcPr>
            <w:tcW w:type="dxa" w:w="3024"/>
          </w:tcPr>
          <w:p>
            <w:r>
              <w:rPr>
                <w:rFonts w:ascii="Times New Roman" w:hAnsi="Times New Roman"/>
                <w:sz w:val="20"/>
              </w:rPr>
              <w:t>Betriebsrat (Norbert Schäpers)</w:t>
            </w:r>
          </w:p>
        </w:tc>
        <w:tc>
          <w:tcPr>
            <w:tcW w:type="dxa" w:w="3024"/>
          </w:tcPr>
          <w:p>
            <w:r>
              <w:rPr>
                <w:rFonts w:ascii="Times New Roman" w:hAnsi="Times New Roman"/>
                <w:sz w:val="20"/>
              </w:rPr>
              <w:t>Mitbestimmung</w:t>
            </w:r>
          </w:p>
        </w:tc>
        <w:tc>
          <w:tcPr>
            <w:tcW w:type="dxa" w:w="3024"/>
          </w:tcPr>
          <w:p>
            <w:r>
              <w:rPr>
                <w:rFonts w:ascii="Times New Roman" w:hAnsi="Times New Roman"/>
                <w:sz w:val="20"/>
              </w:rPr>
              <w:t>§ 87 BetrVG, Betriebsvereinbarung</w:t>
            </w:r>
          </w:p>
        </w:tc>
      </w:tr>
    </w:tbl>
    <w:p>
      <w:pPr>
        <w:jc w:val="left"/>
      </w:pPr>
      <w:r>
        <w:rPr>
          <w:b/>
        </w:rPr>
        <w:t>4.3 Betriebsrat:</w:t>
      </w:r>
      <w:r>
        <w:t xml:space="preserve"> Der Betriebsrat ist gemäß § 87 Abs. 1 Nr. 6 BetrVG (https://dejure.org/gesetze/BetrVG/87.html) bei der Einführung und wesentlichen Änderung technischer Einrichtungen, die zur Überwachung des Verhaltens oder der Leistung der Arbeitnehmer bestimmt sind oder geeignet sind, frühzeitig einzubeziehen. Dies gilt ausdrücklich für RecruitAI und CreditVision Score.</w:t>
      </w:r>
    </w:p>
    <w:p/>
    <w:p>
      <w:pPr>
        <w:pStyle w:val="Heading2"/>
      </w:pPr>
      <w:r>
        <w:rPr>
          <w:rFonts w:ascii="Times New Roman" w:hAnsi="Times New Roman"/>
        </w:rPr>
        <w:t>5. Verbotene Praktiken</w:t>
      </w:r>
    </w:p>
    <w:p>
      <w:pPr>
        <w:jc w:val="left"/>
      </w:pPr>
      <w:r>
        <w:t>In Übereinstimmung mit Art. 5 KI-VO (https://dejure.org/gesetze/KIVO/5.html) sind bei Thalheim Industries SE folgende KI-Praktiken verboten:</w:t>
      </w:r>
    </w:p>
    <w:p>
      <w:pPr>
        <w:pStyle w:val="ListBullet"/>
      </w:pPr>
      <w:r>
        <w:t>KI-Systeme zur unterschwelligen Beeinflussung von Personen ohne deren Wissen;</w:t>
      </w:r>
    </w:p>
    <w:p>
      <w:pPr>
        <w:pStyle w:val="ListBullet"/>
      </w:pPr>
      <w:r>
        <w:t>Systeme zur Ausnutzung von Vulnerabilitäten von Personen;</w:t>
      </w:r>
    </w:p>
    <w:p>
      <w:pPr>
        <w:pStyle w:val="ListBullet"/>
      </w:pPr>
      <w:r>
        <w:t>Social Scoring-Systeme durch Behörden oder vergleichbare private Einstufungen;</w:t>
      </w:r>
    </w:p>
    <w:p>
      <w:pPr>
        <w:pStyle w:val="ListBullet"/>
      </w:pPr>
      <w:r>
        <w:t>Echtzeit-Fernerkennung biometrischer Merkmale in öffentlich zugänglichen Räumen;</w:t>
      </w:r>
    </w:p>
    <w:p>
      <w:pPr>
        <w:pStyle w:val="ListBullet"/>
      </w:pPr>
      <w:r>
        <w:t>Emotionserkennung am Arbeitsplatz und in Bildungseinrichtungen.</w:t>
      </w:r>
    </w:p>
    <w:p>
      <w:pPr>
        <w:jc w:val="left"/>
      </w:pPr>
      <w:r>
        <w:t>Eine vollständige Rote Liste mit Prüfschema findet sich in Aktenstück 09 (TI-KI-2026-013).</w:t>
      </w:r>
    </w:p>
    <w:p/>
    <w:p>
      <w:pPr>
        <w:pStyle w:val="Heading2"/>
      </w:pPr>
      <w:r>
        <w:rPr>
          <w:rFonts w:ascii="Times New Roman" w:hAnsi="Times New Roman"/>
        </w:rPr>
        <w:t>6. Pflichten für Hochrisiko-KI-Systeme</w:t>
      </w:r>
    </w:p>
    <w:p>
      <w:pPr>
        <w:jc w:val="left"/>
      </w:pPr>
      <w:r>
        <w:t>Für alle Hochrisiko-KI-Systeme (derzeit: RecruitAI, CreditVision Score) gelten kumulativ die Anforderungen nach Art. 9–17 KI-VO:</w:t>
      </w:r>
    </w:p>
    <w:p>
      <w:pPr>
        <w:pStyle w:val="ListBullet"/>
      </w:pPr>
      <w:r>
        <w:rPr>
          <w:b/>
        </w:rPr>
        <w:t>Art. 9:</w:t>
      </w:r>
      <w:r>
        <w:t xml:space="preserve"> Risikomanagementsystem — laufend, dokumentiert;</w:t>
      </w:r>
    </w:p>
    <w:p>
      <w:pPr>
        <w:pStyle w:val="ListBullet"/>
      </w:pPr>
      <w:r>
        <w:rPr>
          <w:b/>
        </w:rPr>
        <w:t>Art. 10:</w:t>
      </w:r>
      <w:r>
        <w:t xml:space="preserve"> Daten-Governance — Trainings- und Aktenstand dokumentiert, repräsentativ;</w:t>
      </w:r>
    </w:p>
    <w:p>
      <w:pPr>
        <w:pStyle w:val="ListBullet"/>
      </w:pPr>
      <w:r>
        <w:rPr>
          <w:b/>
        </w:rPr>
        <w:t>Art. 11:</w:t>
      </w:r>
      <w:r>
        <w:t xml:space="preserve"> Technische Dokumentation — vollständig, aktuell (Vorlage 72 h nach Anforderung durch Behörden);</w:t>
      </w:r>
    </w:p>
    <w:p>
      <w:pPr>
        <w:pStyle w:val="ListBullet"/>
      </w:pPr>
      <w:r>
        <w:rPr>
          <w:b/>
        </w:rPr>
        <w:t>Art. 12:</w:t>
      </w:r>
      <w:r>
        <w:t xml:space="preserve"> Aufzeichnungs- und Protokollierungspflichten — automatische Protokollierung aktiviert;</w:t>
      </w:r>
    </w:p>
    <w:p>
      <w:pPr>
        <w:pStyle w:val="ListBullet"/>
      </w:pPr>
      <w:r>
        <w:rPr>
          <w:b/>
        </w:rPr>
        <w:t>Art. 13:</w:t>
      </w:r>
      <w:r>
        <w:t xml:space="preserve"> Transparenz gegenüber Betreibern — Gebrauchsanweisung vorhanden;</w:t>
      </w:r>
    </w:p>
    <w:p>
      <w:pPr>
        <w:pStyle w:val="ListBullet"/>
      </w:pPr>
      <w:r>
        <w:rPr>
          <w:b/>
        </w:rPr>
        <w:t>Art. 14:</w:t>
      </w:r>
      <w:r>
        <w:t xml:space="preserve"> Menschliche Aufsicht — technisch und organisatorisch implementiert;</w:t>
      </w:r>
    </w:p>
    <w:p>
      <w:pPr>
        <w:pStyle w:val="ListBullet"/>
      </w:pPr>
      <w:r>
        <w:rPr>
          <w:b/>
        </w:rPr>
        <w:t>Art. 15:</w:t>
      </w:r>
      <w:r>
        <w:t xml:space="preserve"> Genauigkeit, Robustheit, Cybersicherheit — regelmäßige Tests, Penetrationstests;</w:t>
      </w:r>
    </w:p>
    <w:p>
      <w:pPr>
        <w:pStyle w:val="ListBullet"/>
      </w:pPr>
      <w:r>
        <w:rPr>
          <w:b/>
        </w:rPr>
        <w:t>Art. 16:</w:t>
      </w:r>
      <w:r>
        <w:t xml:space="preserve"> Betreiberpflichten — Registrierung, Konformitätsbewertung vor Inbetriebnahme;</w:t>
      </w:r>
    </w:p>
    <w:p>
      <w:pPr>
        <w:pStyle w:val="ListBullet"/>
      </w:pPr>
      <w:r>
        <w:rPr>
          <w:b/>
        </w:rPr>
        <w:t>Art. 17:</w:t>
      </w:r>
      <w:r>
        <w:t xml:space="preserve"> Qualitätsmanagementsystem — ISO-konformes QMS vorhanden.</w:t>
      </w:r>
    </w:p>
    <w:p>
      <w:pPr>
        <w:jc w:val="left"/>
      </w:pPr>
      <w:r>
        <w:t>Die Konformitätsbewertung nach Art. 43 Abs. 2 KI-VO (interne Bewertung für HR-/Kreditssysteme) wird durch die WPG Hagedorn &amp; Partner als externen Auditor begleitet.</w:t>
      </w:r>
    </w:p>
    <w:p/>
    <w:p>
      <w:pPr>
        <w:pStyle w:val="Heading2"/>
      </w:pPr>
      <w:r>
        <w:rPr>
          <w:rFonts w:ascii="Times New Roman" w:hAnsi="Times New Roman"/>
        </w:rPr>
        <w:t>7. AI Literacy (Art. 4 KI-VO)</w:t>
      </w:r>
    </w:p>
    <w:p>
      <w:pPr>
        <w:jc w:val="left"/>
      </w:pPr>
      <w:r>
        <w:t>Alle Mitarbeiter, die KI-Systeme einsetzen oder beaufsichtigen, müssen über ausreichende KI-Kompetenz verfügen (Art. 4 KI-VO, https://dejure.org/gesetze/KIVO/4.html). Das Curriculum ist in Aktenstück 05 (TI-KI-2026-009) beschrieben. Die Schulungspflicht ist bis 31.10.2026 flächendeckend zu erfüllen.</w:t>
      </w:r>
    </w:p>
    <w:p/>
    <w:p>
      <w:pPr>
        <w:pStyle w:val="Heading2"/>
      </w:pPr>
      <w:r>
        <w:rPr>
          <w:rFonts w:ascii="Times New Roman" w:hAnsi="Times New Roman"/>
        </w:rPr>
        <w:t>8. Schatten-KI und nicht genehmigte Systeme</w:t>
      </w:r>
    </w:p>
    <w:p>
      <w:pPr>
        <w:jc w:val="left"/>
      </w:pPr>
      <w:r>
        <w:t>Mitarbeiter dürfen keine KI-Systeme einsetzen, die nicht im KI-Inventar registriert und durch den KI-Freigabeprozess freigegeben wurden. Verstöße sind unverzüglich der CCO Kühnhausen zu melden und können arbeitsrechtliche Konsequenzen haben. Der Vorfall in der Marketingabteilung (März 2026, Aktenstück 16) zeigt die praktische Relevanz dieser Regelung.</w:t>
      </w:r>
    </w:p>
    <w:p/>
    <w:p>
      <w:pPr>
        <w:pStyle w:val="Heading2"/>
      </w:pPr>
      <w:r>
        <w:rPr>
          <w:rFonts w:ascii="Times New Roman" w:hAnsi="Times New Roman"/>
        </w:rPr>
        <w:t>9. Inkrafttreten und Überprüfung</w:t>
      </w:r>
    </w:p>
    <w:p>
      <w:pPr>
        <w:jc w:val="left"/>
      </w:pPr>
      <w:r>
        <w:t>Diese Leitlinie tritt nach Freigabe durch den Vorstand (geplant 15. April 2026) in Kraft. Sie wird jährlich überprüft und bei wesentlichen Änderungen der Rechtslage oder des KI-Einsatzes anlassbezogen angepasst.</w:t>
      </w:r>
    </w:p>
    <w:p>
      <w:pPr>
        <w:jc w:val="left"/>
      </w:pPr>
      <w:r>
        <w:rPr>
          <w:b/>
        </w:rPr>
        <w:t>Nächste planmäßige Überprüfung:</w:t>
      </w:r>
      <w:r>
        <w:t xml:space="preserve"> April 2027.</w:t>
      </w:r>
    </w:p>
    <w:p/>
    <w:p>
      <w:pPr>
        <w:jc w:val="left"/>
      </w:pPr>
      <w:r>
        <w:rPr>
          <w:i/>
        </w:rPr>
        <w:t>Erstellt im Rahmen des Compliance-Programms TI-KI-2026, Thalheim Industries SE. Aktenzeichen: TI-KI-2026-007. Externe Rechtsberatung: Kanzlei Borchmann Compliance, Frankfurt am Main.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KI-Governance-Leitlinie Thalheim Industries SE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KI-Governance-Leitlinie Thalheim Industries SE</w:t>
    </w:r>
  </w:p>
  <w:p>
    <w:pPr>
      <w:jc w:val="left"/>
      <w:pBdr>
        <w:bottom w:val="single" w:sz="6" w:space="2" w:color="3B3F45"/>
      </w:pBdr>
    </w:pPr>
    <w:r>
      <w:rPr>
        <w:rFonts w:ascii="Times New Roman" w:hAnsi="Times New Roman"/>
        <w:color w:val="6B6B66"/>
        <w:sz w:val="16"/>
      </w:rPr>
      <w:t>Unternehmen · Aktenzeichen: TI-KI-2026-007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