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AI-Literacy-Curriculum und Schulungsplan — Art. 4 KI-VO</w:t>
      </w:r>
    </w:p>
    <w:p>
      <w:pPr>
        <w:jc w:val="left"/>
      </w:pPr>
      <w:r>
        <w:rPr>
          <w:b/>
        </w:rPr>
        <w:t>Aktenzeichen:</w:t>
      </w:r>
      <w:r>
        <w:t xml:space="preserve"> TI-KI-2026-010</w:t>
      </w:r>
    </w:p>
    <w:p>
      <w:pPr>
        <w:jc w:val="left"/>
      </w:pPr>
      <w:r>
        <w:rPr>
          <w:b/>
        </w:rPr>
        <w:t>Dokumentversion:</w:t>
      </w:r>
      <w:r>
        <w:t xml:space="preserve"> 1.3</w:t>
      </w:r>
    </w:p>
    <w:p>
      <w:pPr>
        <w:jc w:val="left"/>
      </w:pPr>
      <w:r>
        <w:rPr>
          <w:b/>
        </w:rPr>
        <w:t>Erstellungsdatum:</w:t>
      </w:r>
      <w:r>
        <w:t xml:space="preserve"> 15. November 2025</w:t>
      </w:r>
    </w:p>
    <w:p>
      <w:pPr>
        <w:jc w:val="left"/>
      </w:pPr>
      <w:r>
        <w:rPr>
          <w:b/>
        </w:rPr>
        <w:t>Verfasser:</w:t>
      </w:r>
      <w:r>
        <w:t xml:space="preserve"> Dr. Falk Roosendaal; Petra Schöneberger (Leiterin Personalentwicklung)</w:t>
      </w:r>
    </w:p>
    <w:p>
      <w:pPr>
        <w:jc w:val="left"/>
      </w:pPr>
      <w:r>
        <w:rPr>
          <w:b/>
        </w:rPr>
        <w:t>Zielgruppe:</w:t>
      </w:r>
      <w:r>
        <w:t xml:space="preserve"> Alle Mitarbeiter der Thalheim Industries SE</w:t>
      </w:r>
    </w:p>
    <w:p/>
    <w:p>
      <w:pPr>
        <w:pStyle w:val="Heading2"/>
      </w:pPr>
      <w:r>
        <w:rPr>
          <w:rFonts w:ascii="Times New Roman" w:hAnsi="Times New Roman"/>
        </w:rPr>
        <w:t>1. Rechtsgrundlage und Zielsetzung</w:t>
      </w:r>
    </w:p>
    <w:p>
      <w:pPr>
        <w:jc w:val="left"/>
      </w:pPr>
      <w:r>
        <w:t>Art. 4 der Verordnung (EU) 2024/1689 (KI-VO) (https://dejure.org/gesetze/KIVO/4.html) verpflichtet Anbieter und Betreiber von KI-Systemen, dafür zu sorgen, dass ihr Personal und alle anderen Personen, die in ihrem Auftrag mit dem Betrieb und der Nutzung von KI-Systemen befasst sind, über ausreichende KI-Kompetenz verfügen, wobei technische Kenntnisse, Erfahrung, Ausbildung und Schulung sowie der Kontext berücksichtigt werden, in dem die KI-Systeme eingesetzt werden sollen.</w:t>
      </w:r>
    </w:p>
    <w:p>
      <w:pPr>
        <w:jc w:val="left"/>
      </w:pPr>
      <w:r>
        <w:t>Die Pflicht nach Art. 4 KI-VO gilt für Thalheim Industries SE als Betreiber (Deployer) aller fünf klassifizierten KI-Systeme. Sie ist spätestens ab 02.08.2025 anwendbar (Art. 113 Abs. 2 KI-VO).</w:t>
      </w:r>
    </w:p>
    <w:p>
      <w:pPr>
        <w:jc w:val="left"/>
      </w:pPr>
      <w:r>
        <w:rPr>
          <w:b/>
        </w:rPr>
        <w:t>Ziele des Schulungsprogramms:</w:t>
      </w:r>
    </w:p>
    <w:p>
      <w:pPr>
        <w:pStyle w:val="ListNumber"/>
      </w:pPr>
      <w:r>
        <w:t>Sicherstellen, dass alle Mitarbeiter die grundlegenden Funktionsweisen, Risiken und Rechte im Zusammenhang mit KI verstehen.</w:t>
      </w:r>
    </w:p>
    <w:p>
      <w:pPr>
        <w:pStyle w:val="ListNumber"/>
      </w:pPr>
      <w:r>
        <w:t>Schaffen zielgruppenspezifischer Vertiefungskenntnisse für Nutzer von Hochrisiko-Systemen.</w:t>
      </w:r>
    </w:p>
    <w:p>
      <w:pPr>
        <w:pStyle w:val="ListNumber"/>
      </w:pPr>
      <w:r>
        <w:t>Befähigung zur Wahrnehmung menschlicher Aufsicht über KI-Systeme (Art. 14 KI-VO).</w:t>
      </w:r>
    </w:p>
    <w:p>
      <w:pPr>
        <w:pStyle w:val="ListNumber"/>
      </w:pPr>
      <w:r>
        <w:t>Sensibilisierung für Hinweisgeberpflichten bei Anomalien oder Missbrauch.</w:t>
      </w:r>
    </w:p>
    <w:p/>
    <w:p>
      <w:pPr>
        <w:pStyle w:val="Heading2"/>
      </w:pPr>
      <w:r>
        <w:rPr>
          <w:rFonts w:ascii="Times New Roman" w:hAnsi="Times New Roman"/>
        </w:rPr>
        <w:t>2. Schulungsmatrix und Zielgruppen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Zielgruppe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Modul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Dauer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Format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Alle Mitarbeitern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Modul A: KI-Grundlagen &amp; Rechte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90 Min.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E-Learning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31.10.2026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Führungskräfte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Modul B: KI-Governance &amp; Compliance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180 Min.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Hybrid (Präsenz + E-Learning)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31.07.2026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HR-Fachbereich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Modul C: RecruitAI — Hochrisiko &amp; Bias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240 Min.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Präsenz-Workshop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Finanzierung/Vertrieb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Modul D: CreditVision Score — KI-VO &amp; DSGVO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240 Min.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Präsenz-Workshop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IT / CDO-Bereich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Modul E: KI-Sicherheit, Protokollierung, Cybersecurity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120 Min.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E-Learning + Lab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Compliance/Recht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Modul F: KI-VO Vertiefung für Compliance-Verantwortliche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360 Min.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Präsenz-Seminar extern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Betriebsrat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Modul G: Mitbestimmung und KI (§ 87 BetrVG)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120 Min.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Externe Schulung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Revision / Audit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Modul H: KI-Audit-Methodik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240 Min.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Externes Seminar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Modulinhalte (Auszug)</w:t>
      </w:r>
    </w:p>
    <w:p>
      <w:pPr>
        <w:pStyle w:val="Heading3"/>
      </w:pPr>
      <w:r>
        <w:rPr>
          <w:rFonts w:ascii="Times New Roman" w:hAnsi="Times New Roman"/>
        </w:rPr>
        <w:t>Modul A — KI-Grundlagen &amp; Rechte (Pflichtmodul für alle)</w:t>
      </w:r>
    </w:p>
    <w:p>
      <w:pPr>
        <w:jc w:val="left"/>
      </w:pPr>
      <w:r>
        <w:rPr>
          <w:b/>
        </w:rPr>
        <w:t>Lernziele:</w:t>
      </w:r>
    </w:p>
    <w:p>
      <w:pPr>
        <w:pStyle w:val="ListBullet"/>
      </w:pPr>
      <w:r>
        <w:t>Was ist ein KI-System? (Art. 3 Nr. 1 KI-VO)</w:t>
      </w:r>
    </w:p>
    <w:p>
      <w:pPr>
        <w:pStyle w:val="ListBullet"/>
      </w:pPr>
      <w:r>
        <w:t>Welche KI-Systeme setzt Thalheim ein und warum?</w:t>
      </w:r>
    </w:p>
    <w:p>
      <w:pPr>
        <w:pStyle w:val="ListBullet"/>
      </w:pPr>
      <w:r>
        <w:t>Rechte betroffener Personen (Erklärung, Widerspruch, Art. 22 DSGVO)</w:t>
      </w:r>
    </w:p>
    <w:p>
      <w:pPr>
        <w:pStyle w:val="ListBullet"/>
      </w:pPr>
      <w:r>
        <w:t>Verbotene KI-Praktiken nach Art. 5 KI-VO</w:t>
      </w:r>
    </w:p>
    <w:p>
      <w:pPr>
        <w:pStyle w:val="ListBullet"/>
      </w:pPr>
      <w:r>
        <w:t>Meldewege bei Verdacht auf Missbrauch (Hinweisgeberschutz)</w:t>
      </w:r>
    </w:p>
    <w:p>
      <w:pPr>
        <w:pStyle w:val="ListBullet"/>
      </w:pPr>
      <w:r>
        <w:t>Was ist Schatten-KI und warum ist sie problematisch?</w:t>
      </w:r>
    </w:p>
    <w:p>
      <w:pPr>
        <w:jc w:val="left"/>
      </w:pPr>
      <w:r>
        <w:rPr>
          <w:b/>
        </w:rPr>
        <w:t>Inhalte (Kurzübersicht):</w:t>
      </w:r>
    </w:p>
    <w:p>
      <w:pPr>
        <w:pStyle w:val="ListNumber"/>
      </w:pPr>
      <w:r>
        <w:t>Geschichte und Grundprinzipien der KI (15 Min.)</w:t>
      </w:r>
    </w:p>
    <w:p>
      <w:pPr>
        <w:pStyle w:val="ListNumber"/>
      </w:pPr>
      <w:r>
        <w:t>Überblick KI-Systeme bei Thalheim (10 Min.)</w:t>
      </w:r>
    </w:p>
    <w:p>
      <w:pPr>
        <w:pStyle w:val="ListNumber"/>
      </w:pPr>
      <w:r>
        <w:t>KI-Verordnung — Warum reguliert die EU? (20 Min.)</w:t>
      </w:r>
    </w:p>
    <w:p>
      <w:pPr>
        <w:pStyle w:val="ListNumber"/>
      </w:pPr>
      <w:r>
        <w:t>Ihre Rechte als betroffene Person (15 Min.)</w:t>
      </w:r>
    </w:p>
    <w:p>
      <w:pPr>
        <w:pStyle w:val="ListNumber"/>
      </w:pPr>
      <w:r>
        <w:t>Ihre Pflichten als Nutzer von KI-Systemen (15 Min.)</w:t>
      </w:r>
    </w:p>
    <w:p>
      <w:pPr>
        <w:pStyle w:val="ListNumber"/>
      </w:pPr>
      <w:r>
        <w:t>Quiz und Zertifizierung (15 Min.)</w:t>
      </w:r>
    </w:p>
    <w:p/>
    <w:p>
      <w:pPr>
        <w:pStyle w:val="Heading3"/>
      </w:pPr>
      <w:r>
        <w:rPr>
          <w:rFonts w:ascii="Times New Roman" w:hAnsi="Times New Roman"/>
        </w:rPr>
        <w:t>Modul C — RecruitAI: Hochrisiko und Bias (HR-Fachbereich)</w:t>
      </w:r>
    </w:p>
    <w:p>
      <w:pPr>
        <w:jc w:val="left"/>
      </w:pPr>
      <w:r>
        <w:rPr>
          <w:b/>
        </w:rPr>
        <w:t>Zielgruppe:</w:t>
      </w:r>
      <w:r>
        <w:t xml:space="preserve"> HR-Business-Partner, Recruiterinnen und Recruiter, HR-Systemverantwortliche</w:t>
      </w:r>
    </w:p>
    <w:p>
      <w:pPr>
        <w:jc w:val="left"/>
      </w:pPr>
      <w:r>
        <w:rPr>
          <w:b/>
        </w:rPr>
        <w:t>Lernziele:</w:t>
      </w:r>
    </w:p>
    <w:p>
      <w:pPr>
        <w:pStyle w:val="ListBullet"/>
      </w:pPr>
      <w:r>
        <w:t>Warum ist RecruitAI ein Hochrisiko-System (Anhang III Nr. 4a KI-VO)?</w:t>
      </w:r>
    </w:p>
    <w:p>
      <w:pPr>
        <w:pStyle w:val="ListBullet"/>
      </w:pPr>
      <w:r>
        <w:t>Was bedeutet menschliche Aufsicht in der Praxis? (Art. 14 KI-VO)</w:t>
      </w:r>
    </w:p>
    <w:p>
      <w:pPr>
        <w:pStyle w:val="ListBullet"/>
      </w:pPr>
      <w:r>
        <w:t>Bias-Erkennung: Wie entstehen Verzerrungen und wie erkenne ich sie?</w:t>
      </w:r>
    </w:p>
    <w:p>
      <w:pPr>
        <w:pStyle w:val="ListBullet"/>
      </w:pPr>
      <w:r>
        <w:t>Recht auf Erklärung für Bewerber (Art. 22 DSGVO, DSGVO-Informationspflichten)</w:t>
      </w:r>
    </w:p>
    <w:p>
      <w:pPr>
        <w:pStyle w:val="ListBullet"/>
      </w:pPr>
      <w:r>
        <w:t>SOP: Wann und wie überstimme ich das System?</w:t>
      </w:r>
    </w:p>
    <w:p>
      <w:pPr>
        <w:pStyle w:val="ListBullet"/>
      </w:pPr>
      <w:r>
        <w:t>Dokumentationspflichten: Protokollierung von Override-Entscheidungen</w:t>
      </w:r>
    </w:p>
    <w:p>
      <w:pPr>
        <w:jc w:val="left"/>
      </w:pPr>
      <w:r>
        <w:rPr>
          <w:b/>
        </w:rPr>
        <w:t>Praxisübung:</w:t>
      </w:r>
    </w:p>
    <w:p>
      <w:pPr>
        <w:jc w:val="left"/>
      </w:pPr>
      <w:r>
        <w:t>Fallstudie: RecruitAI bewertet eine Bewerberin mit niedrigem Score. Wie gehe ich vor? Rollenspiel zwischen HR-Partner und Kandidatin.</w:t>
      </w:r>
    </w:p>
    <w:p/>
    <w:p>
      <w:pPr>
        <w:pStyle w:val="Heading3"/>
      </w:pPr>
      <w:r>
        <w:rPr>
          <w:rFonts w:ascii="Times New Roman" w:hAnsi="Times New Roman"/>
        </w:rPr>
        <w:t>Modul D — CreditVision Score: KI-VO und DSGVO (Finanzierung/Vertrieb)</w:t>
      </w:r>
    </w:p>
    <w:p>
      <w:pPr>
        <w:jc w:val="left"/>
      </w:pPr>
      <w:r>
        <w:rPr>
          <w:b/>
        </w:rPr>
        <w:t>Zielgruppe:</w:t>
      </w:r>
      <w:r>
        <w:t xml:space="preserve"> Kreditentscheider, Key Account Manager, Fachleiter Finanzierung</w:t>
      </w:r>
    </w:p>
    <w:p>
      <w:pPr>
        <w:jc w:val="left"/>
      </w:pPr>
      <w:r>
        <w:rPr>
          <w:b/>
        </w:rPr>
        <w:t>Lernziele:</w:t>
      </w:r>
    </w:p>
    <w:p>
      <w:pPr>
        <w:pStyle w:val="ListBullet"/>
      </w:pPr>
      <w:r>
        <w:t>Hochrisiko-Klassifikation CreditVision Score (Anh. III Nr. 5b KI-VO)</w:t>
      </w:r>
    </w:p>
    <w:p>
      <w:pPr>
        <w:pStyle w:val="ListBullet"/>
      </w:pPr>
      <w:r>
        <w:t>Art. 22 DSGVO: Wann liegt eine automatisierte Einzelentscheidung vor?</w:t>
      </w:r>
    </w:p>
    <w:p>
      <w:pPr>
        <w:pStyle w:val="ListBullet"/>
      </w:pPr>
      <w:r>
        <w:t>Widerspruchsrecht des Kunden: wie kommunizieren, wie dokumentieren?</w:t>
      </w:r>
    </w:p>
    <w:p>
      <w:pPr>
        <w:pStyle w:val="ListBullet"/>
      </w:pPr>
      <w:r>
        <w:t>Menschliche Aufsicht: Der Letztentscheid liegt beim Kundenbetreuer</w:t>
      </w:r>
    </w:p>
    <w:p>
      <w:pPr>
        <w:pStyle w:val="ListBullet"/>
      </w:pPr>
      <w:r>
        <w:t>BaFin-Anfrage: Was bedeutet das für den Vertrieb?</w:t>
      </w:r>
    </w:p>
    <w:p/>
    <w:p>
      <w:pPr>
        <w:pStyle w:val="Heading2"/>
      </w:pPr>
      <w:r>
        <w:rPr>
          <w:rFonts w:ascii="Times New Roman" w:hAnsi="Times New Roman"/>
        </w:rPr>
        <w:t>4. Umsetzungsstand (März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Modul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Berechtigte Personen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Abgeschlossen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Prozentsatz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Modul A (Grundlagen)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4.560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Modul B (Führungskräfte)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480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44 %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Modul C (HR/RecruitAI)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36 %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Modul D (Finanzierung)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40 %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Modul E (IT)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340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58 %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Modul F (Compliance)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78 %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Modul G (Betriebsrat)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Modul H (Revision)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</w:tr>
    </w:tbl>
    <w:p>
      <w:pPr>
        <w:jc w:val="left"/>
      </w:pPr>
      <w:r>
        <w:rPr>
          <w:b/>
        </w:rPr>
        <w:t>Bewertung:</w:t>
      </w:r>
      <w:r>
        <w:t xml:space="preserve"> Der Umsetzungsstand ist kritisch. Im Bereich HR (Modul C) und Finanzierung (Modul D) — also genau den Fachbereichen mit Hochrisiko-Systemen — liegt die Abschlussquote unter 40 %. Modul G (Betriebsrat) wurde noch nicht gestartet, da die Schulung im Zusammenhang mit den laufenden Betriebsvereinbarungsverhandlungen steht.</w:t>
      </w:r>
    </w:p>
    <w:p/>
    <w:p>
      <w:pPr>
        <w:pStyle w:val="Heading2"/>
      </w:pPr>
      <w:r>
        <w:rPr>
          <w:rFonts w:ascii="Times New Roman" w:hAnsi="Times New Roman"/>
        </w:rPr>
        <w:t>5. Maßnahmenplan zur Schließung des Schulungsrückstands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Erwartete Wirkung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Pflichtabschluss Modul A für alle (Erinnerungskampagne, Vorgesetzte eingebunden)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Personalentwicklung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+45 %-Punkte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Präsenz-Workshops Modul C (3 Termine à 30 Teilnehmer)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HR / Dr. Roosendaal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HR-Quote auf 100 %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Präsenz-Workshops Modul D (2 Termine)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Finanzierung / CCO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Finanzierungs-Quote auf 100 %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Modul G: BR-Schulung nach Abschluss BV-Verhandlungen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CCO / Betriebsrat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31.07.2026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BR informiert und zertifiziert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Nachweis-Tracking im LMS (Lernmanagementsystem)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IT / PE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Lückenlose Dokumentation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Eskalation bei Nicht-Abschluss an direkte Führungskraft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 / Vorstand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 01.05.2026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Steigerung Abschlussrate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Dokumentation und Nachweis</w:t>
      </w:r>
    </w:p>
    <w:p>
      <w:pPr>
        <w:jc w:val="left"/>
      </w:pPr>
      <w:r>
        <w:t>Die Schulungsabschlüsse werden im unternehmensinternen Lernmanagementsystem (LMS) TalentHub dokumentiert. Zertifikate werden automatisch ausgestellt. Die Compliance-Abteilung kann jederzeit aggregierte Nachweise je Fachbereich und System abrufen. Bei behördlichen Anfragen (BaFin, LfDI BW) können entsprechende Nachweise innerhalb von 72 Stunden bereitgestellt werden.</w:t>
      </w:r>
    </w:p>
    <w:p/>
    <w:p>
      <w:pPr>
        <w:jc w:val="left"/>
      </w:pPr>
      <w:r>
        <w:rPr>
          <w:i/>
        </w:rPr>
        <w:t>Aktenzeichen: TI-KI-2026-010. Verfasser: Dr. F. Roosendaal, P. Schöneberger. Stand: März 2026.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Thalheim Industries SE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Thalheim Industries SE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 · Aktenzeichen: TI-KI-2026-010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