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Datenschutz-Folgenabschätzung (DPIA) — RecruitAI</w:t>
      </w:r>
    </w:p>
    <w:p>
      <w:pPr>
        <w:jc w:val="left"/>
      </w:pPr>
      <w:r>
        <w:rPr>
          <w:b/>
        </w:rPr>
        <w:t>Aktenzeichen intern:</w:t>
      </w:r>
      <w:r>
        <w:t xml:space="preserve"> TI-KI-2026-012</w:t>
      </w:r>
    </w:p>
    <w:p>
      <w:pPr>
        <w:jc w:val="left"/>
      </w:pPr>
      <w:r>
        <w:rPr>
          <w:b/>
        </w:rPr>
        <w:t>Behördliches AZ:</w:t>
      </w:r>
      <w:r>
        <w:t xml:space="preserve"> LfDI BW AZ 1-1085.51/2026/045</w:t>
      </w:r>
    </w:p>
    <w:p>
      <w:pPr>
        <w:jc w:val="left"/>
      </w:pPr>
      <w:r>
        <w:rPr>
          <w:b/>
        </w:rPr>
        <w:t>Dokumentversion:</w:t>
      </w:r>
      <w:r>
        <w:t xml:space="preserve"> 0.8 (Entwurf, nicht freigegeben)</w:t>
      </w:r>
    </w:p>
    <w:p>
      <w:pPr>
        <w:jc w:val="left"/>
      </w:pPr>
      <w:r>
        <w:rPr>
          <w:b/>
        </w:rPr>
        <w:t>Erstellungsdatum:</w:t>
      </w:r>
      <w:r>
        <w:t xml:space="preserve"> 10. März 2026</w:t>
      </w:r>
    </w:p>
    <w:p>
      <w:pPr>
        <w:jc w:val="left"/>
      </w:pPr>
      <w:r>
        <w:rPr>
          <w:b/>
        </w:rPr>
        <w:t>Verfasserin:</w:t>
      </w:r>
      <w:r>
        <w:t xml:space="preserve"> Dr. Carla Eichenmüller, Datenschutzbeauftragte Thalheim Industries SE</w:t>
      </w:r>
    </w:p>
    <w:p>
      <w:pPr>
        <w:jc w:val="left"/>
      </w:pPr>
      <w:r>
        <w:rPr>
          <w:b/>
        </w:rPr>
        <w:t>Mitarbeit:</w:t>
      </w:r>
      <w:r>
        <w:t xml:space="preserve"> Barbara Trenkmann (HR-Systemverantwortliche); Marcus Petersen (CDO)</w:t>
      </w:r>
    </w:p>
    <w:p>
      <w:pPr>
        <w:jc w:val="left"/>
      </w:pPr>
      <w:r>
        <w:rPr>
          <w:b/>
        </w:rPr>
        <w:t>Vorlage-Frist:</w:t>
      </w:r>
      <w:r>
        <w:t xml:space="preserve"> 30. Juni 2026 (gemäß LfDI BW Schreiben 02.03.2026)</w:t>
      </w:r>
    </w:p>
    <w:p/>
    <w:p>
      <w:pPr>
        <w:pStyle w:val="Heading2"/>
      </w:pPr>
      <w:r>
        <w:rPr>
          <w:rFonts w:ascii="Times New Roman" w:hAnsi="Times New Roman"/>
        </w:rPr>
        <w:t>1. Einleitung und Rechtsgrundlage</w:t>
      </w:r>
    </w:p>
    <w:p>
      <w:pPr>
        <w:jc w:val="left"/>
      </w:pPr>
      <w:r>
        <w:t xml:space="preserve">Die Thalheim Industries SE ist gemäß Art. 35 Abs. 1 und Abs. 3 DSGVO (https://dejure.org/gesetze/DSGVO/35.html) verpflichtet, für die Verarbeitung personenbezogener Daten mittels des KI-Systems </w:t>
      </w:r>
      <w:r>
        <w:rPr>
          <w:b/>
        </w:rPr>
        <w:t>RecruitAI</w:t>
      </w:r>
      <w:r>
        <w:t xml:space="preserve"> (Vendor: Synaptec Analytics GmbH) eine Datenschutz-Folgenabschätzung (DPIA) durchzuführen.</w:t>
      </w:r>
    </w:p>
    <w:p>
      <w:pPr>
        <w:jc w:val="left"/>
      </w:pPr>
      <w:r>
        <w:t>Die DPIA-Pflicht ergibt sich aus:</w:t>
      </w:r>
    </w:p>
    <w:p>
      <w:pPr>
        <w:pStyle w:val="ListBullet"/>
      </w:pPr>
      <w:r>
        <w:t>Art. 35 Abs. 3 lit. a DSGVO: Systematische und umfassende Bewertung persönlicher Aspekte natürlicher Personen durch automatisierte Verarbeitung einschließlich Profiling mit erheblichen Folgen für die betroffene Person → Bewerber-Ranking mit Einstellungsrelevanz.</w:t>
      </w:r>
    </w:p>
    <w:p>
      <w:pPr>
        <w:pStyle w:val="ListBullet"/>
      </w:pPr>
      <w:r>
        <w:t>Art. 35 Abs. 3 lit. b DSGVO: Umfangreiche Verarbeitung besonderer Kategorien von Daten (Art. 9 DSGVO) — nicht ausgeschlossen (Rückschlüsse auf Herkunft, Geschlecht aus Lebensläufen).</w:t>
      </w:r>
    </w:p>
    <w:p>
      <w:pPr>
        <w:pStyle w:val="ListBullet"/>
      </w:pPr>
      <w:r>
        <w:t>LfDI BW Positivliste: Automatisierte Entscheidungsunterstützung im Recruiting ausdrücklich aufgeführt.</w:t>
      </w:r>
    </w:p>
    <w:p>
      <w:pPr>
        <w:pStyle w:val="ListBullet"/>
      </w:pPr>
      <w:r>
        <w:t>KI-VO-Synergiegebot: Art. 9 KI-VO und Art. 35 DSGVO sollen koordiniert angewendet werden (Erwägungsgrund 159 KI-VO).</w:t>
      </w:r>
    </w:p>
    <w:p>
      <w:pPr>
        <w:jc w:val="left"/>
      </w:pPr>
      <w:r>
        <w:t>Das Landesbeauftragte für Datenschutz und Informationsfreiheit Baden-Württemberg (LfDI BW) hat mit Schreiben vom 02.03.2026 (AZ 1-1085.51/2026/045) die Vorlage der vollständigen DPIA bis 30.06.2026 angefordert.</w:t>
      </w:r>
    </w:p>
    <w:p/>
    <w:p>
      <w:pPr>
        <w:pStyle w:val="Heading2"/>
      </w:pPr>
      <w:r>
        <w:rPr>
          <w:rFonts w:ascii="Times New Roman" w:hAnsi="Times New Roman"/>
        </w:rPr>
        <w:t>2. Systembeschreibung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Inhalt</w:t>
            </w:r>
          </w:p>
        </w:tc>
      </w:tr>
      <w:tr>
        <w:tc>
          <w:tcPr>
            <w:tcW w:type="dxa" w:w="4536"/>
          </w:tcPr>
          <w:p>
            <w:r>
              <w:rPr>
                <w:rFonts w:ascii="Times New Roman" w:hAnsi="Times New Roman"/>
                <w:sz w:val="20"/>
              </w:rPr>
              <w:t>Systemname</w:t>
            </w:r>
          </w:p>
        </w:tc>
        <w:tc>
          <w:tcPr>
            <w:tcW w:type="dxa" w:w="4536"/>
          </w:tcPr>
          <w:p>
            <w:r>
              <w:rPr>
                <w:rFonts w:ascii="Times New Roman" w:hAnsi="Times New Roman"/>
                <w:sz w:val="20"/>
              </w:rPr>
              <w:t>RecruitAI</w:t>
            </w:r>
          </w:p>
        </w:tc>
      </w:tr>
      <w:tr>
        <w:tc>
          <w:tcPr>
            <w:tcW w:type="dxa" w:w="4536"/>
          </w:tcPr>
          <w:p>
            <w:r>
              <w:rPr>
                <w:rFonts w:ascii="Times New Roman" w:hAnsi="Times New Roman"/>
                <w:sz w:val="20"/>
              </w:rPr>
              <w:t>Anbieter</w:t>
            </w:r>
          </w:p>
        </w:tc>
        <w:tc>
          <w:tcPr>
            <w:tcW w:type="dxa" w:w="4536"/>
          </w:tcPr>
          <w:p>
            <w:r>
              <w:rPr>
                <w:rFonts w:ascii="Times New Roman" w:hAnsi="Times New Roman"/>
                <w:sz w:val="20"/>
              </w:rPr>
              <w:t>Synaptec Analytics GmbH, Leopoldstraße 18, 80802 München</w:t>
            </w:r>
          </w:p>
        </w:tc>
      </w:tr>
      <w:tr>
        <w:tc>
          <w:tcPr>
            <w:tcW w:type="dxa" w:w="4536"/>
          </w:tcPr>
          <w:p>
            <w:r>
              <w:rPr>
                <w:rFonts w:ascii="Times New Roman" w:hAnsi="Times New Roman"/>
                <w:sz w:val="20"/>
              </w:rPr>
              <w:t>Einsatz seit</w:t>
            </w:r>
          </w:p>
        </w:tc>
        <w:tc>
          <w:tcPr>
            <w:tcW w:type="dxa" w:w="4536"/>
          </w:tcPr>
          <w:p>
            <w:r>
              <w:rPr>
                <w:rFonts w:ascii="Times New Roman" w:hAnsi="Times New Roman"/>
                <w:sz w:val="20"/>
              </w:rPr>
              <w:t>01. September 2024</w:t>
            </w:r>
          </w:p>
        </w:tc>
      </w:tr>
      <w:tr>
        <w:tc>
          <w:tcPr>
            <w:tcW w:type="dxa" w:w="4536"/>
          </w:tcPr>
          <w:p>
            <w:r>
              <w:rPr>
                <w:rFonts w:ascii="Times New Roman" w:hAnsi="Times New Roman"/>
                <w:sz w:val="20"/>
              </w:rPr>
              <w:t>Einsatzzweck</w:t>
            </w:r>
          </w:p>
        </w:tc>
        <w:tc>
          <w:tcPr>
            <w:tcW w:type="dxa" w:w="4536"/>
          </w:tcPr>
          <w:p>
            <w:r>
              <w:rPr>
                <w:rFonts w:ascii="Times New Roman" w:hAnsi="Times New Roman"/>
                <w:sz w:val="20"/>
              </w:rPr>
              <w:t>Automatisiertes Screening und Ranking von Bewerbungsunterlagen für alle Stellenausschreibungen der Thalheim Industries SE</w:t>
            </w:r>
          </w:p>
        </w:tc>
      </w:tr>
      <w:tr>
        <w:tc>
          <w:tcPr>
            <w:tcW w:type="dxa" w:w="4536"/>
          </w:tcPr>
          <w:p>
            <w:r>
              <w:rPr>
                <w:rFonts w:ascii="Times New Roman" w:hAnsi="Times New Roman"/>
                <w:sz w:val="20"/>
              </w:rPr>
              <w:t>Datenkategorien</w:t>
            </w:r>
          </w:p>
        </w:tc>
        <w:tc>
          <w:tcPr>
            <w:tcW w:type="dxa" w:w="4536"/>
          </w:tcPr>
          <w:p>
            <w:r>
              <w:rPr>
                <w:rFonts w:ascii="Times New Roman" w:hAnsi="Times New Roman"/>
                <w:sz w:val="20"/>
              </w:rPr>
              <w:t>Name, Vorname, Kontaktdaten, Lebenslauf, Zeugnisse, Foto (falls beigefügt), Anschreiben, LinkedIn-Profil (optionale Verknüpfung)</w:t>
            </w:r>
          </w:p>
        </w:tc>
      </w:tr>
      <w:tr>
        <w:tc>
          <w:tcPr>
            <w:tcW w:type="dxa" w:w="4536"/>
          </w:tcPr>
          <w:p>
            <w:r>
              <w:rPr>
                <w:rFonts w:ascii="Times New Roman" w:hAnsi="Times New Roman"/>
                <w:sz w:val="20"/>
              </w:rPr>
              <w:t>Betroffene Personen</w:t>
            </w:r>
          </w:p>
        </w:tc>
        <w:tc>
          <w:tcPr>
            <w:tcW w:type="dxa" w:w="4536"/>
          </w:tcPr>
          <w:p>
            <w:r>
              <w:rPr>
                <w:rFonts w:ascii="Times New Roman" w:hAnsi="Times New Roman"/>
                <w:sz w:val="20"/>
              </w:rPr>
              <w:t>Bewerber (extern), durchschnittlich 4.500 Bewerbungen p.a.</w:t>
            </w:r>
          </w:p>
        </w:tc>
      </w:tr>
      <w:tr>
        <w:tc>
          <w:tcPr>
            <w:tcW w:type="dxa" w:w="4536"/>
          </w:tcPr>
          <w:p>
            <w:r>
              <w:rPr>
                <w:rFonts w:ascii="Times New Roman" w:hAnsi="Times New Roman"/>
                <w:sz w:val="20"/>
              </w:rPr>
              <w:t>Entscheidungstiefe</w:t>
            </w:r>
          </w:p>
        </w:tc>
        <w:tc>
          <w:tcPr>
            <w:tcW w:type="dxa" w:w="4536"/>
          </w:tcPr>
          <w:p>
            <w:r>
              <w:rPr>
                <w:rFonts w:ascii="Times New Roman" w:hAnsi="Times New Roman"/>
                <w:sz w:val="20"/>
              </w:rPr>
              <w:t>Ranking-Score 0–100; Schwelle 65 für automatische Weiterleitung; unter 40 automatische Ablehnung möglich (Override durch HR vorgesehen)</w:t>
            </w:r>
          </w:p>
        </w:tc>
      </w:tr>
      <w:tr>
        <w:tc>
          <w:tcPr>
            <w:tcW w:type="dxa" w:w="4536"/>
          </w:tcPr>
          <w:p>
            <w:r>
              <w:rPr>
                <w:rFonts w:ascii="Times New Roman" w:hAnsi="Times New Roman"/>
                <w:sz w:val="20"/>
              </w:rPr>
              <w:t>Datenspeicherung</w:t>
            </w:r>
          </w:p>
        </w:tc>
        <w:tc>
          <w:tcPr>
            <w:tcW w:type="dxa" w:w="4536"/>
          </w:tcPr>
          <w:p>
            <w:r>
              <w:rPr>
                <w:rFonts w:ascii="Times New Roman" w:hAnsi="Times New Roman"/>
                <w:sz w:val="20"/>
              </w:rPr>
              <w:t>Synaptec-Server (EU, Frankfurt a.M.); Aufbewahrung: 6 Monate nach Abschluss Stellenbesetzung</w:t>
            </w:r>
          </w:p>
        </w:tc>
      </w:tr>
      <w:tr>
        <w:tc>
          <w:tcPr>
            <w:tcW w:type="dxa" w:w="4536"/>
          </w:tcPr>
          <w:p>
            <w:r>
              <w:rPr>
                <w:rFonts w:ascii="Times New Roman" w:hAnsi="Times New Roman"/>
                <w:sz w:val="20"/>
              </w:rPr>
              <w:t>Schnittstellen</w:t>
            </w:r>
          </w:p>
        </w:tc>
        <w:tc>
          <w:tcPr>
            <w:tcW w:type="dxa" w:w="4536"/>
          </w:tcPr>
          <w:p>
            <w:r>
              <w:rPr>
                <w:rFonts w:ascii="Times New Roman" w:hAnsi="Times New Roman"/>
                <w:sz w:val="20"/>
              </w:rPr>
              <w:t>SAP SuccessFactors (ATS), Outlook (Kommunikation), Active Directory</w:t>
            </w:r>
          </w:p>
        </w:tc>
      </w:tr>
    </w:tbl>
    <w:p/>
    <w:p>
      <w:pPr>
        <w:pStyle w:val="Heading2"/>
      </w:pPr>
      <w:r>
        <w:rPr>
          <w:rFonts w:ascii="Times New Roman" w:hAnsi="Times New Roman"/>
        </w:rPr>
        <w:t>3. Beschreibung des Verarbeitungsvorgangs</w:t>
      </w:r>
    </w:p>
    <w:p>
      <w:pPr>
        <w:jc w:val="left"/>
      </w:pPr>
      <w:r>
        <w:rPr>
          <w:b/>
        </w:rPr>
        <w:t>Verarbeitungsschritte:</w:t>
      </w:r>
    </w:p>
    <w:p>
      <w:pPr>
        <w:pStyle w:val="ListNumber"/>
      </w:pPr>
      <w:r>
        <w:t>Eingang der Bewerbungsunterlagen über das Thalheim-Karriereportal oder E-Mail.</w:t>
      </w:r>
    </w:p>
    <w:p>
      <w:pPr>
        <w:pStyle w:val="ListNumber"/>
      </w:pPr>
      <w:r>
        <w:t>Automatische Extraktion strukturierter Daten (CV-Parsing): Berufserfahrung, Ausbildung, Skills, Sprachkenntnisse.</w:t>
      </w:r>
    </w:p>
    <w:p>
      <w:pPr>
        <w:pStyle w:val="ListNumber"/>
      </w:pPr>
      <w:r>
        <w:t>Scoring durch das RecruitAI-Modell: Vergleich der Kandidatenprofil-Vektoren mit einem Job-Requirement-Profil (erstellt durch HR-Business-Partner).</w:t>
      </w:r>
    </w:p>
    <w:p>
      <w:pPr>
        <w:pStyle w:val="ListNumber"/>
      </w:pPr>
      <w:r>
        <w:t>Ranking-Ergebnis: Score-Liste aller Kandidaten für die Stelle.</w:t>
      </w:r>
    </w:p>
    <w:p>
      <w:pPr>
        <w:pStyle w:val="ListNumber"/>
      </w:pPr>
      <w:r>
        <w:t>HR-Business-Partner sieht Ranking, kann manuell überstimmen (Override), gibt Bewerbungen in die nächste Runde.</w:t>
      </w:r>
    </w:p>
    <w:p>
      <w:pPr>
        <w:pStyle w:val="ListNumber"/>
      </w:pPr>
      <w:r>
        <w:t xml:space="preserve">Kandidaten unter Schwelle 40: automatische Ablehnungsmail — </w:t>
      </w:r>
      <w:r>
        <w:rPr>
          <w:b/>
        </w:rPr>
        <w:t>kritischer Punkt für Art. 22 DSGVO</w:t>
      </w:r>
      <w:r>
        <w:t>.</w:t>
      </w:r>
    </w:p>
    <w:p/>
    <w:p>
      <w:pPr>
        <w:pStyle w:val="Heading2"/>
      </w:pPr>
      <w:r>
        <w:rPr>
          <w:rFonts w:ascii="Times New Roman" w:hAnsi="Times New Roman"/>
        </w:rPr>
        <w:t>4. Notwendigkeit und Verhältnismäßigkeit</w:t>
      </w:r>
    </w:p>
    <w:p>
      <w:pPr>
        <w:jc w:val="left"/>
      </w:pPr>
      <w:r>
        <w:rPr>
          <w:b/>
        </w:rPr>
        <w:t>Zweck:</w:t>
      </w:r>
      <w:r>
        <w:t xml:space="preserve"> Effiziente Bewältigung hoher Bewerbungsvolumina (4.500 p.a.) bei gleichzeitiger Sicherung einheitlicher Qualitätsstandards.</w:t>
      </w:r>
    </w:p>
    <w:p>
      <w:pPr>
        <w:jc w:val="left"/>
      </w:pPr>
      <w:r>
        <w:rPr>
          <w:b/>
        </w:rPr>
        <w:t>Verhältnismäßigkeit:</w:t>
      </w:r>
      <w:r>
        <w:t xml:space="preserve"> Das System ist grundsätzlich geeignet und erforderlich. Kritisch ist jedoch die automatische Ablehnung unterhalb der Schwelle 40, die einen Fall von Art. 22 Abs. 1 DSGVO (https://dejure.org/gesetze/DSGVO/22.html) darstellen kann, wenn kein HR-Mensch aktiv eingreift. Synaptec behauptet, dass jede Ablehnungsentscheidung technisch von HR bestätigt werden muss — dies ist jedoch in der Praxis nicht vollständig implementiert (Feststellung Hagedorn-Audit, 28.02.2026).</w:t>
      </w:r>
    </w:p>
    <w:p/>
    <w:p>
      <w:pPr>
        <w:pStyle w:val="Heading2"/>
      </w:pPr>
      <w:r>
        <w:rPr>
          <w:rFonts w:ascii="Times New Roman" w:hAnsi="Times New Roman"/>
        </w:rPr>
        <w:t>5. Risikoidentifikation und -bewertung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Risiko</w:t>
            </w:r>
          </w:p>
        </w:tc>
        <w:tc>
          <w:tcPr>
            <w:tcW w:type="dxa" w:w="1814"/>
          </w:tcPr>
          <w:p>
            <w:r>
              <w:rPr>
                <w:rFonts w:ascii="Times New Roman" w:hAnsi="Times New Roman"/>
                <w:b/>
                <w:sz w:val="20"/>
              </w:rPr>
              <w:t>Wahrscheinlichkeit</w:t>
            </w:r>
          </w:p>
        </w:tc>
        <w:tc>
          <w:tcPr>
            <w:tcW w:type="dxa" w:w="1814"/>
          </w:tcPr>
          <w:p>
            <w:r>
              <w:rPr>
                <w:rFonts w:ascii="Times New Roman" w:hAnsi="Times New Roman"/>
                <w:b/>
                <w:sz w:val="20"/>
              </w:rPr>
              <w:t>Schwere</w:t>
            </w:r>
          </w:p>
        </w:tc>
        <w:tc>
          <w:tcPr>
            <w:tcW w:type="dxa" w:w="1814"/>
          </w:tcPr>
          <w:p>
            <w:r>
              <w:rPr>
                <w:rFonts w:ascii="Times New Roman" w:hAnsi="Times New Roman"/>
                <w:b/>
                <w:sz w:val="20"/>
              </w:rPr>
              <w:t>Risikostufe</w:t>
            </w:r>
          </w:p>
        </w:tc>
        <w:tc>
          <w:tcPr>
            <w:tcW w:type="dxa" w:w="1814"/>
          </w:tcPr>
          <w:p>
            <w:r>
              <w:rPr>
                <w:rFonts w:ascii="Times New Roman" w:hAnsi="Times New Roman"/>
                <w:b/>
                <w:sz w:val="20"/>
              </w:rPr>
              <w:t>Maßnahme</w:t>
            </w:r>
          </w:p>
        </w:tc>
      </w:tr>
      <w:tr>
        <w:tc>
          <w:tcPr>
            <w:tcW w:type="dxa" w:w="1814"/>
          </w:tcPr>
          <w:p>
            <w:r>
              <w:rPr>
                <w:rFonts w:ascii="Times New Roman" w:hAnsi="Times New Roman"/>
                <w:sz w:val="20"/>
              </w:rPr>
              <w:t>Bias / Diskriminierung (Geschlecht, Herkunft)</w:t>
            </w:r>
          </w:p>
        </w:tc>
        <w:tc>
          <w:tcPr>
            <w:tcW w:type="dxa" w:w="1814"/>
          </w:tcPr>
          <w:p>
            <w:r>
              <w:rPr>
                <w:rFonts w:ascii="Times New Roman" w:hAnsi="Times New Roman"/>
                <w:sz w:val="20"/>
              </w:rPr>
              <w:t>Mittel</w:t>
            </w:r>
          </w:p>
        </w:tc>
        <w:tc>
          <w:tcPr>
            <w:tcW w:type="dxa" w:w="1814"/>
          </w:tcPr>
          <w:p>
            <w:r>
              <w:rPr>
                <w:rFonts w:ascii="Times New Roman" w:hAnsi="Times New Roman"/>
                <w:sz w:val="20"/>
              </w:rPr>
              <w:t>Hoch</w:t>
            </w:r>
          </w:p>
        </w:tc>
        <w:tc>
          <w:tcPr>
            <w:tcW w:type="dxa" w:w="1814"/>
          </w:tcPr>
          <w:p>
            <w:r>
              <w:rPr>
                <w:rFonts w:ascii="Times New Roman" w:hAnsi="Times New Roman"/>
                <w:b/>
                <w:sz w:val="20"/>
              </w:rPr>
              <w:t>Hoch</w:t>
            </w:r>
          </w:p>
        </w:tc>
        <w:tc>
          <w:tcPr>
            <w:tcW w:type="dxa" w:w="1814"/>
          </w:tcPr>
          <w:p>
            <w:r>
              <w:rPr>
                <w:rFonts w:ascii="Times New Roman" w:hAnsi="Times New Roman"/>
                <w:sz w:val="20"/>
              </w:rPr>
              <w:t>Bias-Tests erforderlich (fehlen derzeit)</w:t>
            </w:r>
          </w:p>
        </w:tc>
      </w:tr>
      <w:tr>
        <w:tc>
          <w:tcPr>
            <w:tcW w:type="dxa" w:w="1814"/>
          </w:tcPr>
          <w:p>
            <w:r>
              <w:rPr>
                <w:rFonts w:ascii="Times New Roman" w:hAnsi="Times New Roman"/>
                <w:sz w:val="20"/>
              </w:rPr>
              <w:t>Automatische Ablehnung ohne menschliche Kontrolle</w:t>
            </w:r>
          </w:p>
        </w:tc>
        <w:tc>
          <w:tcPr>
            <w:tcW w:type="dxa" w:w="1814"/>
          </w:tcPr>
          <w:p>
            <w:r>
              <w:rPr>
                <w:rFonts w:ascii="Times New Roman" w:hAnsi="Times New Roman"/>
                <w:sz w:val="20"/>
              </w:rPr>
              <w:t>Mittel</w:t>
            </w:r>
          </w:p>
        </w:tc>
        <w:tc>
          <w:tcPr>
            <w:tcW w:type="dxa" w:w="1814"/>
          </w:tcPr>
          <w:p>
            <w:r>
              <w:rPr>
                <w:rFonts w:ascii="Times New Roman" w:hAnsi="Times New Roman"/>
                <w:sz w:val="20"/>
              </w:rPr>
              <w:t>Hoch</w:t>
            </w:r>
          </w:p>
        </w:tc>
        <w:tc>
          <w:tcPr>
            <w:tcW w:type="dxa" w:w="1814"/>
          </w:tcPr>
          <w:p>
            <w:r>
              <w:rPr>
                <w:rFonts w:ascii="Times New Roman" w:hAnsi="Times New Roman"/>
                <w:b/>
                <w:sz w:val="20"/>
              </w:rPr>
              <w:t>Hoch</w:t>
            </w:r>
          </w:p>
        </w:tc>
        <w:tc>
          <w:tcPr>
            <w:tcW w:type="dxa" w:w="1814"/>
          </w:tcPr>
          <w:p>
            <w:r>
              <w:rPr>
                <w:rFonts w:ascii="Times New Roman" w:hAnsi="Times New Roman"/>
                <w:sz w:val="20"/>
              </w:rPr>
              <w:t>SOP und technische Sperre erforderlich</w:t>
            </w:r>
          </w:p>
        </w:tc>
      </w:tr>
      <w:tr>
        <w:tc>
          <w:tcPr>
            <w:tcW w:type="dxa" w:w="1814"/>
          </w:tcPr>
          <w:p>
            <w:r>
              <w:rPr>
                <w:rFonts w:ascii="Times New Roman" w:hAnsi="Times New Roman"/>
                <w:sz w:val="20"/>
              </w:rPr>
              <w:t>Fehlende Transparenz gegenüber Bewerbern</w:t>
            </w:r>
          </w:p>
        </w:tc>
        <w:tc>
          <w:tcPr>
            <w:tcW w:type="dxa" w:w="1814"/>
          </w:tcPr>
          <w:p>
            <w:r>
              <w:rPr>
                <w:rFonts w:ascii="Times New Roman" w:hAnsi="Times New Roman"/>
                <w:sz w:val="20"/>
              </w:rPr>
              <w:t>Hoch</w:t>
            </w:r>
          </w:p>
        </w:tc>
        <w:tc>
          <w:tcPr>
            <w:tcW w:type="dxa" w:w="1814"/>
          </w:tcPr>
          <w:p>
            <w:r>
              <w:rPr>
                <w:rFonts w:ascii="Times New Roman" w:hAnsi="Times New Roman"/>
                <w:sz w:val="20"/>
              </w:rPr>
              <w:t>Mittel</w:t>
            </w:r>
          </w:p>
        </w:tc>
        <w:tc>
          <w:tcPr>
            <w:tcW w:type="dxa" w:w="1814"/>
          </w:tcPr>
          <w:p>
            <w:r>
              <w:rPr>
                <w:rFonts w:ascii="Times New Roman" w:hAnsi="Times New Roman"/>
                <w:b/>
                <w:sz w:val="20"/>
              </w:rPr>
              <w:t>Hoch</w:t>
            </w:r>
          </w:p>
        </w:tc>
        <w:tc>
          <w:tcPr>
            <w:tcW w:type="dxa" w:w="1814"/>
          </w:tcPr>
          <w:p>
            <w:r>
              <w:rPr>
                <w:rFonts w:ascii="Times New Roman" w:hAnsi="Times New Roman"/>
                <w:sz w:val="20"/>
              </w:rPr>
              <w:t>Datenschutzhinweis aktualisieren</w:t>
            </w:r>
          </w:p>
        </w:tc>
      </w:tr>
      <w:tr>
        <w:tc>
          <w:tcPr>
            <w:tcW w:type="dxa" w:w="1814"/>
          </w:tcPr>
          <w:p>
            <w:r>
              <w:rPr>
                <w:rFonts w:ascii="Times New Roman" w:hAnsi="Times New Roman"/>
                <w:sz w:val="20"/>
              </w:rPr>
              <w:t>Datenpanne (Synaptec-Server)</w:t>
            </w:r>
          </w:p>
        </w:tc>
        <w:tc>
          <w:tcPr>
            <w:tcW w:type="dxa" w:w="1814"/>
          </w:tcPr>
          <w:p>
            <w:r>
              <w:rPr>
                <w:rFonts w:ascii="Times New Roman" w:hAnsi="Times New Roman"/>
                <w:sz w:val="20"/>
              </w:rPr>
              <w:t>Niedrig</w:t>
            </w:r>
          </w:p>
        </w:tc>
        <w:tc>
          <w:tcPr>
            <w:tcW w:type="dxa" w:w="1814"/>
          </w:tcPr>
          <w:p>
            <w:r>
              <w:rPr>
                <w:rFonts w:ascii="Times New Roman" w:hAnsi="Times New Roman"/>
                <w:sz w:val="20"/>
              </w:rPr>
              <w:t>Hoch</w:t>
            </w:r>
          </w:p>
        </w:tc>
        <w:tc>
          <w:tcPr>
            <w:tcW w:type="dxa" w:w="1814"/>
          </w:tcPr>
          <w:p>
            <w:r>
              <w:rPr>
                <w:rFonts w:ascii="Times New Roman" w:hAnsi="Times New Roman"/>
                <w:sz w:val="20"/>
              </w:rPr>
              <w:t>Mittel</w:t>
            </w:r>
          </w:p>
        </w:tc>
        <w:tc>
          <w:tcPr>
            <w:tcW w:type="dxa" w:w="1814"/>
          </w:tcPr>
          <w:p>
            <w:r>
              <w:rPr>
                <w:rFonts w:ascii="Times New Roman" w:hAnsi="Times New Roman"/>
                <w:sz w:val="20"/>
              </w:rPr>
              <w:t>AVV, Pen-Test, ISO 27001 Synaptec</w:t>
            </w:r>
          </w:p>
        </w:tc>
      </w:tr>
      <w:tr>
        <w:tc>
          <w:tcPr>
            <w:tcW w:type="dxa" w:w="1814"/>
          </w:tcPr>
          <w:p>
            <w:r>
              <w:rPr>
                <w:rFonts w:ascii="Times New Roman" w:hAnsi="Times New Roman"/>
                <w:sz w:val="20"/>
              </w:rPr>
              <w:t>Profilbildung / Scope Creep</w:t>
            </w:r>
          </w:p>
        </w:tc>
        <w:tc>
          <w:tcPr>
            <w:tcW w:type="dxa" w:w="1814"/>
          </w:tcPr>
          <w:p>
            <w:r>
              <w:rPr>
                <w:rFonts w:ascii="Times New Roman" w:hAnsi="Times New Roman"/>
                <w:sz w:val="20"/>
              </w:rPr>
              <w:t>Niedrig</w:t>
            </w:r>
          </w:p>
        </w:tc>
        <w:tc>
          <w:tcPr>
            <w:tcW w:type="dxa" w:w="1814"/>
          </w:tcPr>
          <w:p>
            <w:r>
              <w:rPr>
                <w:rFonts w:ascii="Times New Roman" w:hAnsi="Times New Roman"/>
                <w:sz w:val="20"/>
              </w:rPr>
              <w:t>Mittel</w:t>
            </w:r>
          </w:p>
        </w:tc>
        <w:tc>
          <w:tcPr>
            <w:tcW w:type="dxa" w:w="1814"/>
          </w:tcPr>
          <w:p>
            <w:r>
              <w:rPr>
                <w:rFonts w:ascii="Times New Roman" w:hAnsi="Times New Roman"/>
                <w:sz w:val="20"/>
              </w:rPr>
              <w:t>Niedrig</w:t>
            </w:r>
          </w:p>
        </w:tc>
        <w:tc>
          <w:tcPr>
            <w:tcW w:type="dxa" w:w="1814"/>
          </w:tcPr>
          <w:p>
            <w:r>
              <w:rPr>
                <w:rFonts w:ascii="Times New Roman" w:hAnsi="Times New Roman"/>
                <w:sz w:val="20"/>
              </w:rPr>
              <w:t>Datenminimierungspflicht vertraglich</w:t>
            </w:r>
          </w:p>
        </w:tc>
      </w:tr>
      <w:tr>
        <w:tc>
          <w:tcPr>
            <w:tcW w:type="dxa" w:w="1814"/>
          </w:tcPr>
          <w:p>
            <w:r>
              <w:rPr>
                <w:rFonts w:ascii="Times New Roman" w:hAnsi="Times New Roman"/>
                <w:sz w:val="20"/>
              </w:rPr>
              <w:t>Rückschlüsse auf Sonderkategorien (Art. 9 DSGVO)</w:t>
            </w:r>
          </w:p>
        </w:tc>
        <w:tc>
          <w:tcPr>
            <w:tcW w:type="dxa" w:w="1814"/>
          </w:tcPr>
          <w:p>
            <w:r>
              <w:rPr>
                <w:rFonts w:ascii="Times New Roman" w:hAnsi="Times New Roman"/>
                <w:sz w:val="20"/>
              </w:rPr>
              <w:t>Mittel</w:t>
            </w:r>
          </w:p>
        </w:tc>
        <w:tc>
          <w:tcPr>
            <w:tcW w:type="dxa" w:w="1814"/>
          </w:tcPr>
          <w:p>
            <w:r>
              <w:rPr>
                <w:rFonts w:ascii="Times New Roman" w:hAnsi="Times New Roman"/>
                <w:sz w:val="20"/>
              </w:rPr>
              <w:t>Sehr hoch</w:t>
            </w:r>
          </w:p>
        </w:tc>
        <w:tc>
          <w:tcPr>
            <w:tcW w:type="dxa" w:w="1814"/>
          </w:tcPr>
          <w:p>
            <w:r>
              <w:rPr>
                <w:rFonts w:ascii="Times New Roman" w:hAnsi="Times New Roman"/>
                <w:b/>
                <w:sz w:val="20"/>
              </w:rPr>
              <w:t>Hoch</w:t>
            </w:r>
          </w:p>
        </w:tc>
        <w:tc>
          <w:tcPr>
            <w:tcW w:type="dxa" w:w="1814"/>
          </w:tcPr>
          <w:p>
            <w:r>
              <w:rPr>
                <w:rFonts w:ascii="Times New Roman" w:hAnsi="Times New Roman"/>
                <w:sz w:val="20"/>
              </w:rPr>
              <w:t>Filterung besonderer Kategorien technisch</w:t>
            </w:r>
          </w:p>
        </w:tc>
      </w:tr>
    </w:tbl>
    <w:p/>
    <w:p>
      <w:pPr>
        <w:pStyle w:val="Heading2"/>
      </w:pPr>
      <w:r>
        <w:rPr>
          <w:rFonts w:ascii="Times New Roman" w:hAnsi="Times New Roman"/>
        </w:rPr>
        <w:t>6. Konsultation des Datenschutzbeauftragten</w:t>
      </w:r>
    </w:p>
    <w:p>
      <w:pPr>
        <w:jc w:val="left"/>
      </w:pPr>
      <w:r>
        <w:t>Dr. Eichenmüller wurde als Datenschutzbeauftragte gemäß Art. 35 Abs. 2 DSGVO bereits zu Beginn der DPIA eingebunden. Sie hat die Risikoidentifikation begleitet und empfiehlt die vollständige Implementierung aller Maßnahmen aus Abschnitt 5, bevor RecruitAI im Vollbetrieb verbleibt. Sie empfiehlt außerdem, eine Konsultation des LfDI BW nach Art. 36 DSGVO zu prüfen, falls die Risiken nicht vollständig eingedämmt werden können (Bias-Tests ausstehend).</w:t>
      </w:r>
    </w:p>
    <w:p/>
    <w:p>
      <w:pPr>
        <w:pStyle w:val="Heading2"/>
      </w:pPr>
      <w:r>
        <w:rPr>
          <w:rFonts w:ascii="Times New Roman" w:hAnsi="Times New Roman"/>
        </w:rPr>
        <w:t>7. Offene Punkte (Stand: März 2026)</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Offener Punkt</w:t>
            </w:r>
          </w:p>
        </w:tc>
        <w:tc>
          <w:tcPr>
            <w:tcW w:type="dxa" w:w="3024"/>
          </w:tcPr>
          <w:p>
            <w:r>
              <w:rPr>
                <w:rFonts w:ascii="Times New Roman" w:hAnsi="Times New Roman"/>
                <w:b/>
                <w:sz w:val="20"/>
              </w:rPr>
              <w:t>Verantwortlich</w:t>
            </w:r>
          </w:p>
        </w:tc>
        <w:tc>
          <w:tcPr>
            <w:tcW w:type="dxa" w:w="3024"/>
          </w:tcPr>
          <w:p>
            <w:r>
              <w:rPr>
                <w:rFonts w:ascii="Times New Roman" w:hAnsi="Times New Roman"/>
                <w:b/>
                <w:sz w:val="20"/>
              </w:rPr>
              <w:t>Frist</w:t>
            </w:r>
          </w:p>
        </w:tc>
      </w:tr>
      <w:tr>
        <w:tc>
          <w:tcPr>
            <w:tcW w:type="dxa" w:w="3024"/>
          </w:tcPr>
          <w:p>
            <w:r>
              <w:rPr>
                <w:rFonts w:ascii="Times New Roman" w:hAnsi="Times New Roman"/>
                <w:sz w:val="20"/>
              </w:rPr>
              <w:t>Bias-Tests Synaptec — Durchführung und Dokumentation</w:t>
            </w:r>
          </w:p>
        </w:tc>
        <w:tc>
          <w:tcPr>
            <w:tcW w:type="dxa" w:w="3024"/>
          </w:tcPr>
          <w:p>
            <w:r>
              <w:rPr>
                <w:rFonts w:ascii="Times New Roman" w:hAnsi="Times New Roman"/>
                <w:sz w:val="20"/>
              </w:rPr>
              <w:t>Synaptec / CIO Wolfsbacher</w:t>
            </w:r>
          </w:p>
        </w:tc>
        <w:tc>
          <w:tcPr>
            <w:tcW w:type="dxa" w:w="3024"/>
          </w:tcPr>
          <w:p>
            <w:r>
              <w:rPr>
                <w:rFonts w:ascii="Times New Roman" w:hAnsi="Times New Roman"/>
                <w:sz w:val="20"/>
              </w:rPr>
              <w:t>30.05.2026</w:t>
            </w:r>
          </w:p>
        </w:tc>
      </w:tr>
      <w:tr>
        <w:tc>
          <w:tcPr>
            <w:tcW w:type="dxa" w:w="3024"/>
          </w:tcPr>
          <w:p>
            <w:r>
              <w:rPr>
                <w:rFonts w:ascii="Times New Roman" w:hAnsi="Times New Roman"/>
                <w:sz w:val="20"/>
              </w:rPr>
              <w:t>Technische Sperre: keine Ablehnung ohne aktiven HR-Override</w:t>
            </w:r>
          </w:p>
        </w:tc>
        <w:tc>
          <w:tcPr>
            <w:tcW w:type="dxa" w:w="3024"/>
          </w:tcPr>
          <w:p>
            <w:r>
              <w:rPr>
                <w:rFonts w:ascii="Times New Roman" w:hAnsi="Times New Roman"/>
                <w:sz w:val="20"/>
              </w:rPr>
              <w:t>IT / Synaptec</w:t>
            </w:r>
          </w:p>
        </w:tc>
        <w:tc>
          <w:tcPr>
            <w:tcW w:type="dxa" w:w="3024"/>
          </w:tcPr>
          <w:p>
            <w:r>
              <w:rPr>
                <w:rFonts w:ascii="Times New Roman" w:hAnsi="Times New Roman"/>
                <w:sz w:val="20"/>
              </w:rPr>
              <w:t>30.04.2026</w:t>
            </w:r>
          </w:p>
        </w:tc>
      </w:tr>
      <w:tr>
        <w:tc>
          <w:tcPr>
            <w:tcW w:type="dxa" w:w="3024"/>
          </w:tcPr>
          <w:p>
            <w:r>
              <w:rPr>
                <w:rFonts w:ascii="Times New Roman" w:hAnsi="Times New Roman"/>
                <w:sz w:val="20"/>
              </w:rPr>
              <w:t>Aktualisierung Datenschutzhinweis Karriereportal (Art. 13 DSGVO)</w:t>
            </w:r>
          </w:p>
        </w:tc>
        <w:tc>
          <w:tcPr>
            <w:tcW w:type="dxa" w:w="3024"/>
          </w:tcPr>
          <w:p>
            <w:r>
              <w:rPr>
                <w:rFonts w:ascii="Times New Roman" w:hAnsi="Times New Roman"/>
                <w:sz w:val="20"/>
              </w:rPr>
              <w:t>DSB / HR</w:t>
            </w:r>
          </w:p>
        </w:tc>
        <w:tc>
          <w:tcPr>
            <w:tcW w:type="dxa" w:w="3024"/>
          </w:tcPr>
          <w:p>
            <w:r>
              <w:rPr>
                <w:rFonts w:ascii="Times New Roman" w:hAnsi="Times New Roman"/>
                <w:sz w:val="20"/>
              </w:rPr>
              <w:t>31.03.2026</w:t>
            </w:r>
          </w:p>
        </w:tc>
      </w:tr>
      <w:tr>
        <w:tc>
          <w:tcPr>
            <w:tcW w:type="dxa" w:w="3024"/>
          </w:tcPr>
          <w:p>
            <w:r>
              <w:rPr>
                <w:rFonts w:ascii="Times New Roman" w:hAnsi="Times New Roman"/>
                <w:sz w:val="20"/>
              </w:rPr>
              <w:t>Überarbeitung Kandidaten-Kommunikation: Hinweis KI-gestütztes Screening</w:t>
            </w:r>
          </w:p>
        </w:tc>
        <w:tc>
          <w:tcPr>
            <w:tcW w:type="dxa" w:w="3024"/>
          </w:tcPr>
          <w:p>
            <w:r>
              <w:rPr>
                <w:rFonts w:ascii="Times New Roman" w:hAnsi="Times New Roman"/>
                <w:sz w:val="20"/>
              </w:rPr>
              <w:t>HR / Kommunikation</w:t>
            </w:r>
          </w:p>
        </w:tc>
        <w:tc>
          <w:tcPr>
            <w:tcW w:type="dxa" w:w="3024"/>
          </w:tcPr>
          <w:p>
            <w:r>
              <w:rPr>
                <w:rFonts w:ascii="Times New Roman" w:hAnsi="Times New Roman"/>
                <w:sz w:val="20"/>
              </w:rPr>
              <w:t>31.03.2026</w:t>
            </w:r>
          </w:p>
        </w:tc>
      </w:tr>
      <w:tr>
        <w:tc>
          <w:tcPr>
            <w:tcW w:type="dxa" w:w="3024"/>
          </w:tcPr>
          <w:p>
            <w:r>
              <w:rPr>
                <w:rFonts w:ascii="Times New Roman" w:hAnsi="Times New Roman"/>
                <w:sz w:val="20"/>
              </w:rPr>
              <w:t>Überprüfung AVV mit Synaptec (neue KI-VO-Klauseln)</w:t>
            </w:r>
          </w:p>
        </w:tc>
        <w:tc>
          <w:tcPr>
            <w:tcW w:type="dxa" w:w="3024"/>
          </w:tcPr>
          <w:p>
            <w:r>
              <w:rPr>
                <w:rFonts w:ascii="Times New Roman" w:hAnsi="Times New Roman"/>
                <w:sz w:val="20"/>
              </w:rPr>
              <w:t>DSB / Legal</w:t>
            </w:r>
          </w:p>
        </w:tc>
        <w:tc>
          <w:tcPr>
            <w:tcW w:type="dxa" w:w="3024"/>
          </w:tcPr>
          <w:p>
            <w:r>
              <w:rPr>
                <w:rFonts w:ascii="Times New Roman" w:hAnsi="Times New Roman"/>
                <w:sz w:val="20"/>
              </w:rPr>
              <w:t>30.04.2026</w:t>
            </w:r>
          </w:p>
        </w:tc>
      </w:tr>
      <w:tr>
        <w:tc>
          <w:tcPr>
            <w:tcW w:type="dxa" w:w="3024"/>
          </w:tcPr>
          <w:p>
            <w:r>
              <w:rPr>
                <w:rFonts w:ascii="Times New Roman" w:hAnsi="Times New Roman"/>
                <w:sz w:val="20"/>
              </w:rPr>
              <w:t>Abschluss DPIA-Bericht und Einreichung LfDI BW</w:t>
            </w:r>
          </w:p>
        </w:tc>
        <w:tc>
          <w:tcPr>
            <w:tcW w:type="dxa" w:w="3024"/>
          </w:tcPr>
          <w:p>
            <w:r>
              <w:rPr>
                <w:rFonts w:ascii="Times New Roman" w:hAnsi="Times New Roman"/>
                <w:sz w:val="20"/>
              </w:rPr>
              <w:t>DSB Dr. Eichenmüller</w:t>
            </w:r>
          </w:p>
        </w:tc>
        <w:tc>
          <w:tcPr>
            <w:tcW w:type="dxa" w:w="3024"/>
          </w:tcPr>
          <w:p>
            <w:r>
              <w:rPr>
                <w:rFonts w:ascii="Times New Roman" w:hAnsi="Times New Roman"/>
                <w:sz w:val="20"/>
              </w:rPr>
              <w:t>30.06.2026</w:t>
            </w:r>
          </w:p>
        </w:tc>
      </w:tr>
    </w:tbl>
    <w:p/>
    <w:p>
      <w:pPr>
        <w:jc w:val="left"/>
      </w:pPr>
      <w:r>
        <w:rPr>
          <w:i/>
        </w:rPr>
        <w:t>Aktenzeichen: TI-KI-2026-012. LfDI BW: AZ 1-1085.51/2026/045. Verfasserin: Dr. C. Eichenmüller. Entwurf v0.8, Stand März 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Datenschutzbeauftragte Thalheim Industries SE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Datenschutzbeauftragte Thalheim Industries SE</w:t>
    </w:r>
  </w:p>
  <w:p>
    <w:pPr>
      <w:jc w:val="left"/>
      <w:pBdr>
        <w:bottom w:val="single" w:sz="6" w:space="2" w:color="2C5230"/>
      </w:pBdr>
    </w:pPr>
    <w:r>
      <w:rPr>
        <w:rFonts w:ascii="Times New Roman" w:hAnsi="Times New Roman"/>
        <w:color w:val="6B6B66"/>
        <w:sz w:val="16"/>
      </w:rPr>
      <w:t>Unternehmen · Aktenzeichen intern: TI-KI-2026-012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