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Stellungnahme gegenüber dem LfDI Baden-Württemberg</w:t>
      </w:r>
    </w:p>
    <w:p>
      <w:pPr>
        <w:jc w:val="left"/>
      </w:pPr>
      <w:r>
        <w:rPr>
          <w:b/>
        </w:rPr>
        <w:t>Aktenzeichen Thalheim:</w:t>
      </w:r>
      <w:r>
        <w:t xml:space="preserve"> TI-KI-2026-012</w:t>
      </w:r>
    </w:p>
    <w:p>
      <w:pPr>
        <w:jc w:val="left"/>
      </w:pPr>
      <w:r>
        <w:rPr>
          <w:b/>
        </w:rPr>
        <w:t>Behördliches AZ:</w:t>
      </w:r>
      <w:r>
        <w:t xml:space="preserve"> LfDI BW AZ 1-1085.51/2026/045</w:t>
      </w:r>
    </w:p>
    <w:p>
      <w:pPr>
        <w:jc w:val="left"/>
      </w:pPr>
      <w:r>
        <w:rPr>
          <w:b/>
        </w:rPr>
        <w:t>Datum:</w:t>
      </w:r>
      <w:r>
        <w:t xml:space="preserve"> 28. April 2026</w:t>
      </w:r>
    </w:p>
    <w:p>
      <w:pPr>
        <w:jc w:val="left"/>
      </w:pPr>
      <w:r>
        <w:rPr>
          <w:b/>
        </w:rPr>
        <w:t>An:</w:t>
      </w:r>
      <w:r>
        <w:t xml:space="preserve"> Der Landesbeauftragte für Datenschutz und Informationsfreiheit Baden-Württemberg, Lautenschlagerstraße 20, 70173 Stuttgart</w:t>
      </w:r>
    </w:p>
    <w:p>
      <w:pPr>
        <w:jc w:val="left"/>
      </w:pPr>
      <w:r>
        <w:rPr>
          <w:b/>
        </w:rPr>
        <w:t>Von:</w:t>
      </w:r>
      <w:r>
        <w:t xml:space="preserve"> Dr. Carla Eichenmüller, Datenschutzbeauftragte Thalheim Industries SE</w:t>
      </w:r>
    </w:p>
    <w:p>
      <w:pPr>
        <w:jc w:val="left"/>
      </w:pPr>
      <w:r>
        <w:rPr>
          <w:b/>
        </w:rPr>
        <w:t>Kanzlei:</w:t>
      </w:r>
      <w:r>
        <w:t xml:space="preserve"> Kanzlei Borchmann Compliance, Frankfurt am Main (Mitzeichnung)</w:t>
      </w:r>
    </w:p>
    <w:p/>
    <w:p>
      <w:pPr>
        <w:pStyle w:val="Heading2"/>
      </w:pPr>
      <w:r>
        <w:rPr>
          <w:rFonts w:ascii="Times New Roman" w:hAnsi="Times New Roman"/>
        </w:rPr>
        <w:t>Betreff: Ihre Anforderung vom 02. März 2026 — DPIA RecruitAI / AZ 1-1085.51/2026/045</w:t>
      </w:r>
    </w:p>
    <w:p>
      <w:pPr>
        <w:jc w:val="left"/>
      </w:pPr>
      <w:r>
        <w:t>Sehr geehrter Herr Landesbeauftragter Dr. Brückner,</w:t>
      </w:r>
    </w:p>
    <w:p>
      <w:pPr>
        <w:jc w:val="left"/>
      </w:pPr>
      <w:r>
        <w:t>wir danken für Ihr Schreiben vom 02.03.2026, mit dem Sie die Thalheim Industries SE zur Vorlage einer vollständigen Datenschutz-Folgenabschätzung (DPIA) nach Art. 35 DSGVO für den Einsatz des KI-Systems RecruitAI aufgefordert haben.</w:t>
      </w:r>
    </w:p>
    <w:p>
      <w:pPr>
        <w:jc w:val="left"/>
      </w:pPr>
      <w:r>
        <w:t>Wir nehmen Ihre Anforderung sehr ernst und haben unverzüglich Maßnahmen eingeleitet. Im Folgenden stellen wir den aktuellen Stand dar und berichten über die ergriffenen Maßnahmen.</w:t>
      </w:r>
    </w:p>
    <w:p/>
    <w:p>
      <w:pPr>
        <w:pStyle w:val="Heading2"/>
      </w:pPr>
      <w:r>
        <w:rPr>
          <w:rFonts w:ascii="Times New Roman" w:hAnsi="Times New Roman"/>
        </w:rPr>
        <w:t>1. Anerkennung der DPIA-Pflicht</w:t>
      </w:r>
    </w:p>
    <w:p>
      <w:pPr>
        <w:jc w:val="left"/>
      </w:pPr>
      <w:r>
        <w:t>Thalheim Industries SE erkennt an, dass der Einsatz von RecruitAI (Synaptec Analytics GmbH) zur automatisierten Bewertung und Priorisierung von Bewerbungsunterlagen eine DPIA-pflichtige Verarbeitungstätigkeit nach Art. 35 Abs. 1 und Abs. 3 lit. a DSGVO (https://dejure.org/gesetze/DSGVO/35.html) darstellt, da:</w:t>
      </w:r>
    </w:p>
    <w:p>
      <w:pPr>
        <w:pStyle w:val="ListBullet"/>
      </w:pPr>
      <w:r>
        <w:t>eine systematische und umfassende Bewertung persönlicher Aspekte natürlicher Personen (Bewerber) auf Grundlage automatisierter Verarbeitung einschließlich Profiling vorliegt und</w:t>
      </w:r>
    </w:p>
    <w:p>
      <w:pPr>
        <w:pStyle w:val="ListBullet"/>
      </w:pPr>
      <w:r>
        <w:t>diese Bewertung Entscheidungen nach sich zieht, die für die betroffenen Personen rechtliche oder ähnlich erhebliche Wirkung entfalten (Einstellungsentscheidung).</w:t>
      </w:r>
    </w:p>
    <w:p>
      <w:pPr>
        <w:jc w:val="left"/>
      </w:pPr>
      <w:r>
        <w:t>Die DPIA-Pflicht ist durch die Aufnahme derartiger Systeme in die LfDI-BW-Positivliste (Stand Oktober 2024) bekräftigt.</w:t>
      </w:r>
    </w:p>
    <w:p/>
    <w:p>
      <w:pPr>
        <w:pStyle w:val="Heading2"/>
      </w:pPr>
      <w:r>
        <w:rPr>
          <w:rFonts w:ascii="Times New Roman" w:hAnsi="Times New Roman"/>
        </w:rPr>
        <w:t>2. Stand der DPIA-Erarbeitung</w:t>
      </w:r>
    </w:p>
    <w:p>
      <w:pPr>
        <w:jc w:val="left"/>
      </w:pPr>
      <w:r>
        <w:t>Die DPIA befindet sich derzeit in der Entwurfsphase (Version 0.8, Stand März 2026). Die Fertigstellung und Vorlage an Ihre Behörde ist bis zum 30. Juni 2026 geplant. Folgende Schritte sind abgeschlossen:</w:t>
      </w:r>
    </w:p>
    <w:p>
      <w:pPr>
        <w:pStyle w:val="ListBullet"/>
      </w:pPr>
      <w:r>
        <w:t>Systembeschreibung und Verarbeitungsdokumentation: abgeschlossen (Aktenstück 07)</w:t>
      </w:r>
    </w:p>
    <w:p>
      <w:pPr>
        <w:pStyle w:val="ListBullet"/>
      </w:pPr>
      <w:r>
        <w:t>Identifikation der Datenkategorien und Betroffenengruppen: abgeschlossen</w:t>
      </w:r>
    </w:p>
    <w:p>
      <w:pPr>
        <w:pStyle w:val="ListBullet"/>
      </w:pPr>
      <w:r>
        <w:t>Risikoidentifikation: abgeschlossen (Risikomatrix liegt vor)</w:t>
      </w:r>
    </w:p>
    <w:p>
      <w:pPr>
        <w:pStyle w:val="ListBullet"/>
      </w:pPr>
      <w:r>
        <w:t>Einbindung der Datenschutzbeauftragten nach Art. 35 Abs. 2 DSGVO: durchgehend gegeben</w:t>
      </w:r>
    </w:p>
    <w:p>
      <w:pPr>
        <w:jc w:val="left"/>
      </w:pPr>
      <w:r>
        <w:t>Noch ausstehend:</w:t>
      </w:r>
    </w:p>
    <w:p>
      <w:pPr>
        <w:pStyle w:val="ListBullet"/>
      </w:pPr>
      <w:r>
        <w:t>Bias-Test-Ergebnisse des Vendors Synaptec (Frist 30.05.2026); parallel laufen unabhängige Tests</w:t>
      </w:r>
    </w:p>
    <w:p>
      <w:pPr>
        <w:pStyle w:val="ListBullet"/>
      </w:pPr>
      <w:r>
        <w:t>Vollständige Risikomaßnahmen-Dokumentation (nach Vorlage Bias-Tests)</w:t>
      </w:r>
    </w:p>
    <w:p>
      <w:pPr>
        <w:pStyle w:val="ListBullet"/>
      </w:pPr>
      <w:r>
        <w:t>Konsultationsentscheidung nach Art. 36 DSGVO (sofern verbleibende Risiken nicht mitigierbar)</w:t>
      </w:r>
    </w:p>
    <w:p/>
    <w:p>
      <w:pPr>
        <w:pStyle w:val="Heading2"/>
      </w:pPr>
      <w:r>
        <w:rPr>
          <w:rFonts w:ascii="Times New Roman" w:hAnsi="Times New Roman"/>
        </w:rPr>
        <w:t>3. Sofortmaßnahmen aufgrund des Audit-Zwischenberichts</w:t>
      </w:r>
    </w:p>
    <w:p>
      <w:pPr>
        <w:jc w:val="left"/>
      </w:pPr>
      <w:r>
        <w:t>Im Rahmen der parallel laufenden Konformitätsprüfung nach KI-VO wurden folgende Sofortmaßnahmen ergriffen:</w:t>
      </w:r>
    </w:p>
    <w:p>
      <w:pPr>
        <w:jc w:val="left"/>
      </w:pPr>
      <w:r>
        <w:rPr>
          <w:b/>
        </w:rPr>
        <w:t>Maßnahme 1:</w:t>
      </w:r>
      <w:r>
        <w:t xml:space="preserve"> Die automatische Ablehnung von Bewerbern durch RecruitAI ohne aktive menschliche Bestätigung wurde technisch gesperrt (Umsetzung bis 30.04.2026). Jede Ablehnung erfordert nun eine aktive Bestätigung durch den zuständigen HR-Business-Partner.</w:t>
      </w:r>
    </w:p>
    <w:p>
      <w:pPr>
        <w:jc w:val="left"/>
      </w:pPr>
      <w:r>
        <w:rPr>
          <w:b/>
        </w:rPr>
        <w:t>Maßnahme 2:</w:t>
      </w:r>
      <w:r>
        <w:t xml:space="preserve"> Der Datenschutzhinweis im Karriereportal der Thalheim Industries SE wurde am 25.03.2026 aktualisiert und informiert Bewerber nunmehr ausdrücklich über den Einsatz eines KI-gestützten Bewerbungsscreening-Systems sowie ihre Rechte nach Art. 13 und Art. 22 DSGVO.</w:t>
      </w:r>
    </w:p>
    <w:p>
      <w:pPr>
        <w:jc w:val="left"/>
      </w:pPr>
      <w:r>
        <w:rPr>
          <w:b/>
        </w:rPr>
        <w:t>Maßnahme 3:</w:t>
      </w:r>
      <w:r>
        <w:t xml:space="preserve"> Für den Zeitraum September 2024 bis Februar 2026 wird geprüft, ob Bewerber, die vollautomatisch abgelehnt wurden (143 Fälle), nachträglich zu informieren sind (Art. 34 DSGVO). Ergebnis der Prüfung bis 31.05.2026.</w:t>
      </w:r>
    </w:p>
    <w:p/>
    <w:p>
      <w:pPr>
        <w:pStyle w:val="Heading2"/>
      </w:pPr>
      <w:r>
        <w:rPr>
          <w:rFonts w:ascii="Times New Roman" w:hAnsi="Times New Roman"/>
        </w:rPr>
        <w:t>4. Zeitplanung</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Meilenstein</w:t>
            </w:r>
          </w:p>
        </w:tc>
        <w:tc>
          <w:tcPr>
            <w:tcW w:type="dxa" w:w="4536"/>
          </w:tcPr>
          <w:p>
            <w:r>
              <w:rPr>
                <w:rFonts w:ascii="Times New Roman" w:hAnsi="Times New Roman"/>
                <w:b/>
                <w:sz w:val="20"/>
              </w:rPr>
              <w:t>Termin</w:t>
            </w:r>
          </w:p>
        </w:tc>
      </w:tr>
      <w:tr>
        <w:tc>
          <w:tcPr>
            <w:tcW w:type="dxa" w:w="4536"/>
          </w:tcPr>
          <w:p>
            <w:r>
              <w:rPr>
                <w:rFonts w:ascii="Times New Roman" w:hAnsi="Times New Roman"/>
                <w:sz w:val="20"/>
              </w:rPr>
              <w:t>Technische Sperre automatische Ablehnung</w:t>
            </w:r>
          </w:p>
        </w:tc>
        <w:tc>
          <w:tcPr>
            <w:tcW w:type="dxa" w:w="4536"/>
          </w:tcPr>
          <w:p>
            <w:r>
              <w:rPr>
                <w:rFonts w:ascii="Times New Roman" w:hAnsi="Times New Roman"/>
                <w:sz w:val="20"/>
              </w:rPr>
              <w:t>30.04.2026</w:t>
            </w:r>
          </w:p>
        </w:tc>
      </w:tr>
      <w:tr>
        <w:tc>
          <w:tcPr>
            <w:tcW w:type="dxa" w:w="4536"/>
          </w:tcPr>
          <w:p>
            <w:r>
              <w:rPr>
                <w:rFonts w:ascii="Times New Roman" w:hAnsi="Times New Roman"/>
                <w:sz w:val="20"/>
              </w:rPr>
              <w:t>Bias-Test-Ergebnisse Synaptec</w:t>
            </w:r>
          </w:p>
        </w:tc>
        <w:tc>
          <w:tcPr>
            <w:tcW w:type="dxa" w:w="4536"/>
          </w:tcPr>
          <w:p>
            <w:r>
              <w:rPr>
                <w:rFonts w:ascii="Times New Roman" w:hAnsi="Times New Roman"/>
                <w:sz w:val="20"/>
              </w:rPr>
              <w:t>30.05.2026</w:t>
            </w:r>
          </w:p>
        </w:tc>
      </w:tr>
      <w:tr>
        <w:tc>
          <w:tcPr>
            <w:tcW w:type="dxa" w:w="4536"/>
          </w:tcPr>
          <w:p>
            <w:r>
              <w:rPr>
                <w:rFonts w:ascii="Times New Roman" w:hAnsi="Times New Roman"/>
                <w:sz w:val="20"/>
              </w:rPr>
              <w:t>Unabhängige Bias-Test-Ergebnisse</w:t>
            </w:r>
          </w:p>
        </w:tc>
        <w:tc>
          <w:tcPr>
            <w:tcW w:type="dxa" w:w="4536"/>
          </w:tcPr>
          <w:p>
            <w:r>
              <w:rPr>
                <w:rFonts w:ascii="Times New Roman" w:hAnsi="Times New Roman"/>
                <w:sz w:val="20"/>
              </w:rPr>
              <w:t>30.06.2026</w:t>
            </w:r>
          </w:p>
        </w:tc>
      </w:tr>
      <w:tr>
        <w:tc>
          <w:tcPr>
            <w:tcW w:type="dxa" w:w="4536"/>
          </w:tcPr>
          <w:p>
            <w:r>
              <w:rPr>
                <w:rFonts w:ascii="Times New Roman" w:hAnsi="Times New Roman"/>
                <w:sz w:val="20"/>
              </w:rPr>
              <w:t>Fertigstellung DPIA</w:t>
            </w:r>
          </w:p>
        </w:tc>
        <w:tc>
          <w:tcPr>
            <w:tcW w:type="dxa" w:w="4536"/>
          </w:tcPr>
          <w:p>
            <w:r>
              <w:rPr>
                <w:rFonts w:ascii="Times New Roman" w:hAnsi="Times New Roman"/>
                <w:sz w:val="20"/>
              </w:rPr>
              <w:t>30.06.2026</w:t>
            </w:r>
          </w:p>
        </w:tc>
      </w:tr>
      <w:tr>
        <w:tc>
          <w:tcPr>
            <w:tcW w:type="dxa" w:w="4536"/>
          </w:tcPr>
          <w:p>
            <w:r>
              <w:rPr>
                <w:rFonts w:ascii="Times New Roman" w:hAnsi="Times New Roman"/>
                <w:sz w:val="20"/>
              </w:rPr>
              <w:t>Übermittlung DPIA an LfDI BW</w:t>
            </w:r>
          </w:p>
        </w:tc>
        <w:tc>
          <w:tcPr>
            <w:tcW w:type="dxa" w:w="4536"/>
          </w:tcPr>
          <w:p>
            <w:r>
              <w:rPr>
                <w:rFonts w:ascii="Times New Roman" w:hAnsi="Times New Roman"/>
                <w:sz w:val="20"/>
              </w:rPr>
              <w:t>30.06.2026</w:t>
            </w:r>
          </w:p>
        </w:tc>
      </w:tr>
      <w:tr>
        <w:tc>
          <w:tcPr>
            <w:tcW w:type="dxa" w:w="4536"/>
          </w:tcPr>
          <w:p>
            <w:r>
              <w:rPr>
                <w:rFonts w:ascii="Times New Roman" w:hAnsi="Times New Roman"/>
                <w:sz w:val="20"/>
              </w:rPr>
              <w:t>Entscheidung über Konsultation nach Art. 36 DSGVO</w:t>
            </w:r>
          </w:p>
        </w:tc>
        <w:tc>
          <w:tcPr>
            <w:tcW w:type="dxa" w:w="4536"/>
          </w:tcPr>
          <w:p>
            <w:r>
              <w:rPr>
                <w:rFonts w:ascii="Times New Roman" w:hAnsi="Times New Roman"/>
                <w:sz w:val="20"/>
              </w:rPr>
              <w:t>Nach DPIA-Fertigstellung</w:t>
            </w:r>
          </w:p>
        </w:tc>
      </w:tr>
    </w:tbl>
    <w:p/>
    <w:p>
      <w:pPr>
        <w:pStyle w:val="Heading2"/>
      </w:pPr>
      <w:r>
        <w:rPr>
          <w:rFonts w:ascii="Times New Roman" w:hAnsi="Times New Roman"/>
        </w:rPr>
        <w:t>5. Bitte um Fristverlängerung / Zwischenstatus</w:t>
      </w:r>
    </w:p>
    <w:p>
      <w:pPr>
        <w:jc w:val="left"/>
      </w:pPr>
      <w:r>
        <w:t>Thalheim Industries SE bittet das LfDI BW um Bestätigung, dass die Einreichung der vollständigen DPIA zum 30. Juni 2026 akzeptiert wird. Wir sichern zu, dass wir bis dahin monatliche Zwischenberichte (jeweils zum 15. des Monats) vorlegen werden.</w:t>
      </w:r>
    </w:p>
    <w:p>
      <w:pPr>
        <w:jc w:val="left"/>
      </w:pPr>
      <w:r>
        <w:t>Für Rückfragen stehe ich jederzeit zur Verfügung.</w:t>
      </w:r>
    </w:p>
    <w:p>
      <w:pPr>
        <w:jc w:val="left"/>
      </w:pPr>
      <w:r>
        <w:t>Mit freundlichen Grüßen</w:t>
      </w:r>
    </w:p>
    <w:p>
      <w:pPr>
        <w:jc w:val="left"/>
      </w:pPr>
      <w:r>
        <w:rPr>
          <w:b/>
        </w:rPr>
        <w:t>Dr. Carla Eichenmüller</w:t>
      </w:r>
    </w:p>
    <w:p>
      <w:pPr>
        <w:jc w:val="left"/>
      </w:pPr>
      <w:r>
        <w:t>Datenschutzbeauftragte</w:t>
      </w:r>
    </w:p>
    <w:p>
      <w:pPr>
        <w:jc w:val="left"/>
      </w:pPr>
      <w:r>
        <w:t>Thalheim Industries SE</w:t>
      </w:r>
    </w:p>
    <w:p>
      <w:pPr>
        <w:jc w:val="left"/>
      </w:pPr>
      <w:r>
        <w:t>August-Bebel-Ring 14, 68163 Mannheim</w:t>
      </w:r>
    </w:p>
    <w:p>
      <w:pPr>
        <w:jc w:val="left"/>
      </w:pPr>
      <w:r>
        <w:t>T: +49 621 9340-2201</w:t>
      </w:r>
    </w:p>
    <w:p>
      <w:pPr>
        <w:jc w:val="left"/>
      </w:pPr>
      <w:r>
        <w:t>c.eichenmueller@thalheim-industries.de</w:t>
      </w:r>
    </w:p>
    <w:p>
      <w:pPr>
        <w:jc w:val="left"/>
      </w:pPr>
      <w:r>
        <w:rPr>
          <w:b/>
        </w:rPr>
        <w:t>Annegret Kühnhausen (CCO, Mitzeichnung)</w:t>
      </w:r>
    </w:p>
    <w:p>
      <w:pPr>
        <w:jc w:val="left"/>
      </w:pPr>
      <w:r>
        <w:rPr>
          <w:b/>
        </w:rPr>
        <w:t>Dr. Nora Borchmann (Kanzlei Borchmann Compliance, Mitzeichnung)</w:t>
      </w:r>
    </w:p>
    <w:p/>
    <w:p>
      <w:pPr>
        <w:jc w:val="left"/>
      </w:pPr>
      <w:r>
        <w:rPr>
          <w:i/>
        </w:rPr>
        <w:t>Aktenzeichen: TI-KI-2026-012. LfDI BW: AZ 1-1085.51/2026/045. Datum: 28.04.2026.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Datenschutzbeauftragte Thalheim Industries SE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Datenschutzbeauftragte Thalheim Industries SE</w:t>
    </w:r>
  </w:p>
  <w:p>
    <w:pPr>
      <w:jc w:val="left"/>
      <w:pBdr>
        <w:bottom w:val="single" w:sz="6" w:space="2" w:color="2C5230"/>
      </w:pBdr>
    </w:pPr>
    <w:r>
      <w:rPr>
        <w:rFonts w:ascii="Times New Roman" w:hAnsi="Times New Roman"/>
        <w:color w:val="6B6B66"/>
        <w:sz w:val="16"/>
      </w:rPr>
      <w:t>Unternehmen · Aktenzeichen Thalheim: TI-KI-2026-012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