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Konformitäts-Roadmap 2025–2027 — KI-Governance Thalheim Industries SE</w:t>
      </w:r>
    </w:p>
    <w:p>
      <w:pPr>
        <w:jc w:val="left"/>
      </w:pPr>
      <w:r>
        <w:rPr>
          <w:b/>
        </w:rPr>
        <w:t>Aktenzeichen:</w:t>
      </w:r>
      <w:r>
        <w:t xml:space="preserve"> TI-KI-2026-007</w:t>
      </w:r>
    </w:p>
    <w:p>
      <w:pPr>
        <w:jc w:val="left"/>
      </w:pPr>
      <w:r>
        <w:rPr>
          <w:b/>
        </w:rPr>
        <w:t>Dokumentversion:</w:t>
      </w:r>
      <w:r>
        <w:t xml:space="preserve"> 2.0</w:t>
      </w:r>
    </w:p>
    <w:p>
      <w:pPr>
        <w:jc w:val="left"/>
      </w:pPr>
      <w:r>
        <w:rPr>
          <w:b/>
        </w:rPr>
        <w:t>Erstellungsdatum:</w:t>
      </w:r>
      <w:r>
        <w:t xml:space="preserve"> 20. Januar 2026 (aktualisiert März 2026)</w:t>
      </w:r>
    </w:p>
    <w:p>
      <w:pPr>
        <w:jc w:val="left"/>
      </w:pPr>
      <w:r>
        <w:rPr>
          <w:b/>
        </w:rPr>
        <w:t>Verfasser:</w:t>
      </w:r>
      <w:r>
        <w:t xml:space="preserve"> Dr. Falk Roosendaal; Annegret Kühnhausen</w:t>
      </w:r>
    </w:p>
    <w:p>
      <w:pPr>
        <w:jc w:val="left"/>
      </w:pPr>
      <w:r>
        <w:rPr>
          <w:b/>
        </w:rPr>
        <w:t>Freigegeben durch:</w:t>
      </w:r>
      <w:r>
        <w:t xml:space="preserve"> KI-Komitee, 14.03.2026</w:t>
      </w:r>
    </w:p>
    <w:p/>
    <w:p>
      <w:pPr>
        <w:pStyle w:val="Heading2"/>
      </w:pPr>
      <w:r>
        <w:rPr>
          <w:rFonts w:ascii="Times New Roman" w:hAnsi="Times New Roman"/>
        </w:rPr>
        <w:t>1. Überblick</w:t>
      </w:r>
    </w:p>
    <w:p>
      <w:pPr>
        <w:jc w:val="left"/>
      </w:pPr>
      <w:r>
        <w:t>Diese Roadmap zeigt den Weg zur vollständigen Konformität der Thalheim Industries SE mit der Verordnung (EU) 2024/1689 (KI-VO) bis zum 02. August 2027 (finale Anwendungsfrist für alle Hochrisiko-Systeme; bestehende Hochrisiko-Systeme aus Anhang-I-Produkten). Für die primär relevanten Hochrisiko-Systeme RecruitAI und CreditVision Score gilt die Frist 02. August 2026.</w:t>
      </w:r>
    </w:p>
    <w:p>
      <w:pPr>
        <w:jc w:val="left"/>
      </w:pPr>
      <w:r>
        <w:rPr>
          <w:b/>
        </w:rPr>
        <w:t>Rechtliche Fristen (Art. 113 KI-VO, https://dejure.org/gesetze/KIVO/113.html):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Anwendbare Pflichten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5 (Verbote); Art. 50 (Transparenz); Art. 3 (Definitionen)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02.08.2025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Kapitel I (Allg. Bestimmungen); Art. 4 (AI Literacy); Kap. II-IV (Governance)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02.08.2026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6–51 (Hochrisiko-Pflichten, Konformitätsbewertung, Registrierung)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02.08.2027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6 für Produkte nach Anhang I (bestehende CE-Produkte)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Meilensteinplan</w:t>
      </w:r>
    </w:p>
    <w:p>
      <w:pPr>
        <w:pStyle w:val="Heading3"/>
      </w:pPr>
      <w:r>
        <w:rPr>
          <w:rFonts w:ascii="Times New Roman" w:hAnsi="Times New Roman"/>
        </w:rPr>
        <w:t>Phase 1: Bestandsaufnahme (Oktober–Dezember 2025) ✓ ABGESCHLOSSEN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KI-Inventar: Alle Systeme erfasst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31.12.2025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Abgeschlossen (23 Systeme)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Risikoklassifikation aller Systeme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Abgeschlossen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Gap-Analyse je System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Abgeschlossen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KI-Komitee erste Sitzung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Stattgefunden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Externe Berater mandatiert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15.11.2025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Borchmann, Hagedorn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Phase 2: Konformitätsherstellung (Januar–Juli 2026) — LAUFEND</w:t>
      </w:r>
    </w:p>
    <w:p>
      <w:pPr>
        <w:pStyle w:val="Heading3"/>
      </w:pPr>
      <w:r>
        <w:rPr>
          <w:rFonts w:ascii="Times New Roman" w:hAnsi="Times New Roman"/>
        </w:rPr>
        <w:t>2A — Rechtliche und Governance-Grundlagen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 (März 2026)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KI-Governance-Leitlinie v2 final + Vorstandsfreigabe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Freigabe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Rote Liste (Art. 5) kommuniziert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ServiceBot: Art. 50-Hinweis implementiert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Betriebsvereinbarung KI unterzeichnet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⚠ Verhandlungen stocken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Vendor-Verträge KI-VO-Klauseln ergänzt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Bearbeitung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2B — AI Literacy (Art. 4 KI-VO)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 (März 2026)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Modul A: alle Mitarbeitern (Ziel 100 %)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31.10.2026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38 % — Kampagne läuft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Modul C: HR-Fachbereich (100 %)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36 %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Modul D: Finanzierung (100 %)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40 %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Modul E: IT-Bereich (100 %)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58 %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Modul F: Compliance (100 %)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78 %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Modul G: Betriebsrat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2C — RecruitAI: Konformitätsprüfung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 (März 2026)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Audit-Start Hagedorn &amp; Partner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Gestartet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Bias-Test beauftragen (unabhängig)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Beauftragt (Beschluss KI-Komitee)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Bias-Test-Ergebnisse Synaptec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⚠ Offen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Bias-Test-Ergebnisse unabhängig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Durchführung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DPIA abgeschlossen + LfDI BW vorlegen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⚠ Entwurf v0.8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Techn. Dokumentation Synaptec vollst.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⚠ Nachforderung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SOP menschliche Aufsicht 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Erarbeitung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Konformitätsbewertung Abschlussbericht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EU-Datenbank-Registrierung RecruitAI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01.08.2026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 Abschlussbericht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 KI-VO (Art. 113)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02.08.2026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KRITISCH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2D — CreditVision Score: Konformitätsprüfung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 (März 2026)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BaFin-Stellungnahme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Vorbereitung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Audit-Start Hagedorn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22 DSGVO Prozess-Härtung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Umsetzung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Bias-Tests CreditVision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Nachforderung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DPIA (falls erforderlich)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Prüfung läuft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Konformitätsbewertung Abschlussbericht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EU-Datenbank-Registrierung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01.08.2026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 Abschlussbericht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 KI-VO (Art. 113)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02.08.2026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KRITISCH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Phase 3: Konsolidierung (Januar–Dezember 2027)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Jährliche Bias-Test-Überprüfung alle Systeme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Q2 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Aktualisierung KI-Inventar (neue Systeme 2026/2027)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Q1 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Überprüfung PredictMaint (Art. 6, Anh. I)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01.08.2027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Governance-Leitlinie v3 (Anpassung nach Erfahrungen Phase 2)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Q1 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GPAI-Modell-Compliance Review (OpenAI-Verträge)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Q2 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Zweiter interner Audit KI-Compliance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Q3 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Aufsichtsratsbericht Phase-3-Start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Dez. 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Ampel-Übersicht (März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KI-Inventar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🟢 Grün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Risikoklassifikation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🟢 Grün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5 Verbote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🟢 Grün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50 Transparenz (ServiceBot)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🟢 Grün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AI Literacy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🟡 Gelb (38 %)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AI Literacy HR / Finanzierung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🔴 Rot (unter 40 %)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RecruitAI Konformitätsprüfung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🔴 Rot (Bias-Tests fehlen)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CreditVision Score Konformitätsprüfung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🟡 Gelb (BaFin-Anfrage offen)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Betriebsvereinbarung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🔴 Rot (keine Einigung)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Vendor-Verträge KI-VO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🟡 Gelb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DPIA RecruitAI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🟡 Gelb (Entwurf läuft)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Schatten-KI Marketing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🟢 Grün (abgeschaltet, Aufarbeitung)</w:t>
            </w:r>
          </w:p>
        </w:tc>
      </w:tr>
    </w:tbl>
    <w:p/>
    <w:p>
      <w:pPr>
        <w:jc w:val="left"/>
      </w:pPr>
      <w:r>
        <w:rPr>
          <w:i/>
        </w:rPr>
        <w:t>Aktenzeichen: TI-KI-2026-007. Version 2.0. Verfasser: Dr. F. Roosendaal, A. Kühnhausen. Stand: März 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KI-Governance Thalheim Industries SE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KI-Governance Thalheim Industries SE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 · Aktenzeichen: TI-KI-2026-007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