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Budgetplan — KI-Governance-Funktion Thalheim Industries SE 2026/2027</w:t>
      </w:r>
    </w:p>
    <w:p>
      <w:pPr>
        <w:jc w:val="left"/>
      </w:pPr>
      <w:r>
        <w:rPr>
          <w:b/>
        </w:rPr>
        <w:t>Aktenzeichen:</w:t>
      </w:r>
      <w:r>
        <w:t xml:space="preserve"> TI-KI-2026-007</w:t>
      </w:r>
    </w:p>
    <w:p>
      <w:pPr>
        <w:jc w:val="left"/>
      </w:pPr>
      <w:r>
        <w:rPr>
          <w:b/>
        </w:rPr>
        <w:t>Dokumentversion:</w:t>
      </w:r>
      <w:r>
        <w:t xml:space="preserve"> 1.2</w:t>
      </w:r>
    </w:p>
    <w:p>
      <w:pPr>
        <w:jc w:val="left"/>
      </w:pPr>
      <w:r>
        <w:rPr>
          <w:b/>
        </w:rPr>
        <w:t>Erstellungsdatum:</w:t>
      </w:r>
      <w:r>
        <w:t xml:space="preserve"> 20. Oktober 2025 (aktualisiert März 2026)</w:t>
      </w:r>
    </w:p>
    <w:p>
      <w:pPr>
        <w:jc w:val="left"/>
      </w:pPr>
      <w:r>
        <w:rPr>
          <w:b/>
        </w:rPr>
        <w:t>Verfasser:</w:t>
      </w:r>
      <w:r>
        <w:t xml:space="preserve"> Klaus-Dieter Obermaier (CFO); Annegret Kühnhausen (CCO)</w:t>
      </w:r>
    </w:p>
    <w:p>
      <w:pPr>
        <w:jc w:val="left"/>
      </w:pPr>
      <w:r>
        <w:rPr>
          <w:b/>
        </w:rPr>
        <w:t>Freigabe:</w:t>
      </w:r>
      <w:r>
        <w:t xml:space="preserve"> Vorstand VS-2025-087 (15.10.2025); Aktualisierung durch KI-Komitee 14.03.2026</w:t>
      </w:r>
    </w:p>
    <w:p/>
    <w:p>
      <w:pPr>
        <w:pStyle w:val="Heading2"/>
      </w:pPr>
      <w:r>
        <w:rPr>
          <w:rFonts w:ascii="Times New Roman" w:hAnsi="Times New Roman"/>
        </w:rPr>
        <w:t>1. Übersicht Programmbudget TI-KI-2026</w:t>
      </w:r>
    </w:p>
    <w:p>
      <w:pPr>
        <w:jc w:val="left"/>
      </w:pPr>
      <w:r>
        <w:t>Das Gesamtbudget des Programms TI-KI-2026 (Phase 1 und 2) wurde durch den Vorstand am 15.10.2025 mit 1.450.000 EUR genehmigt. Auf Basis der Erkenntnisse aus Phase 1 und den Eskalationsthemen Q1 2026 wird ein Nachtragsbudget von 215.000 EUR beantragt (vgl. Eskalationsvorlage Aktenstück 17).</w:t>
      </w:r>
    </w:p>
    <w:p>
      <w:pPr>
        <w:jc w:val="left"/>
      </w:pPr>
      <w:r>
        <w:rPr>
          <w:b/>
        </w:rPr>
        <w:t>Gesamtbudget inkl. Nachtrag:</w:t>
      </w:r>
      <w:r>
        <w:t xml:space="preserve"> 1.665.000 EUR</w:t>
      </w:r>
    </w:p>
    <w:p/>
    <w:p>
      <w:pPr>
        <w:pStyle w:val="Heading2"/>
      </w:pPr>
      <w:r>
        <w:rPr>
          <w:rFonts w:ascii="Times New Roman" w:hAnsi="Times New Roman"/>
        </w:rPr>
        <w:t>2. Budgetplan nach Kostenstellen</w:t>
      </w:r>
    </w:p>
    <w:p>
      <w:pPr>
        <w:pStyle w:val="Heading3"/>
      </w:pPr>
      <w:r>
        <w:rPr>
          <w:rFonts w:ascii="Times New Roman" w:hAnsi="Times New Roman"/>
        </w:rPr>
        <w:t>2.1 Externe Rechtsberatung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Borchmann Compliance (Rahmenmandat)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195.000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280.000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Synaptec-Vertragsdurchsetzung (Nachtrag)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50.000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BaFin-Stellungnahme (inbegriffen Borchmann)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Teilsumme Rechtsberatung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15.000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245.000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70.000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330.000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Externe Prüfung /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WPG Hagedorn &amp; Partner (RecruitAI + CreditVision Score)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190.000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Unabhängige Bias-Tests (extern, Nachtrag)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80.000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Jährlicher KI-Compliance-Audit 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90.000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Teilsumme Prüfung/Audit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270.000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90.000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360.000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2.3 AI Literacy / Schulung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E-Learning-Plattform-Lizenz (TalentHub KI-Module)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45.000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95.000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Externe Schulungsdienstleister (Präsenz-Workshops)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88.000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Erstellung Schulungsmaterial (intern + extern)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45.000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Teilsumme Schulung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17.000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143.000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68.000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228.000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2.4 Technologie und Systemanpassungen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Technische Sperre automatische Ablehnung (RecruitAI)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KI-Inventar-Tool (Lizenz + Integration)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43.000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API-Blocking-Maßnahmen (Schatten-KI-Prävention)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Override-Dokumentation in SAP SuccessFactors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KI-Dashboard Compliance-Monitoring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35.000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52.000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Teilsumme Technologie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110.000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37.000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155.000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2.5 Personalaufwand (intern, kalkuliert)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Budget 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KI-Komitee-Vorsitz Dr. Roosendaal (60 % Kapazität)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228.000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DSB Dr. Eichenmüller (KI-Anteil, 30 % Kapazität)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45.000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125.000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CCO-Bereich KI-Compliance (1,5 FTE)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99.000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297.000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Teilsumme Personal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58.000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368.000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224.000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650.000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2.6 Nachtrag Eskalation (Vorstandsgenehmigung ausstehend)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Synaptec-Vertragsdurchsetzung (Rechtsberatung)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Alternativsystem-Evaluation Recruiting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Einigungsstelle BetrVG (geschätzt)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Nachtrags-Gesamt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215.000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2025–2027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Externe Rechtsberatung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330.000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Externe Prüfung/Audit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360.000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AI Literacy / Schulung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228.000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Technologie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Personal (intern kalkuliert)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650.000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Genehmigtes Gesamtbudget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1.450.000 EUR</w:t>
            </w:r>
            <w:r>
              <w:rPr>
                <w:rFonts w:ascii="Times New Roman" w:hAnsi="Times New Roman"/>
                <w:sz w:val="20"/>
              </w:rPr>
              <w:t xml:space="preserve"> (ohne Nachtrag)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Nachtragsbudget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inkl. Nachtrag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1.665.000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Budgetkontrolle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Periode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Geplant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Verbraucht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Abweichung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Phase 1 (Okt–Dez 2025)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98.000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91.000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Q1 2026 (Jan–März 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246.000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+34.000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Q2 2026 (Apr–Jun 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410.000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Q3 2026 (Jul–Sep 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320.000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t>Das Programm liegt leicht unter dem Ursprungsbudget, jedoch wird der Nachtrag für Synaptec-Eskalation, Einigungsstelle und System-Evaluation benötigt.</w:t>
      </w:r>
    </w:p>
    <w:p/>
    <w:p>
      <w:pPr>
        <w:jc w:val="left"/>
      </w:pPr>
      <w:r>
        <w:rPr>
          <w:i/>
        </w:rPr>
        <w:t>Aktenzeichen: TI-KI-2026-007. Verfasser: K.-D. Obermaier, A. Kühnhausen. Stand: März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KI-Governance-Funktion Thalheim Industries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KI-Governance-Funktion Thalheim Industries SE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SE 2026/2027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