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Betriebsanleitung „AntragsLotse Pro" Version 3.2 — Auszug</w:t>
      </w:r>
    </w:p>
    <w:p>
      <w:pPr>
        <w:jc w:val="left"/>
      </w:pPr>
      <w:r>
        <w:rPr>
          <w:b/>
        </w:rPr>
        <w:t>Civitas Software GmbH</w:t>
      </w:r>
    </w:p>
    <w:p>
      <w:pPr>
        <w:jc w:val="left"/>
      </w:pPr>
      <w:r>
        <w:t>Hafenweg 41, 48155 Münster</w:t>
      </w:r>
    </w:p>
    <w:p>
      <w:pPr>
        <w:jc w:val="left"/>
      </w:pPr>
      <w:r>
        <w:t>Telefon: 0251 97744-0 | E-Mail: support@civitas-software.de</w:t>
      </w:r>
    </w:p>
    <w:p>
      <w:pPr>
        <w:jc w:val="left"/>
      </w:pPr>
      <w:r>
        <w:t>Geschäftsführer: Dr. Falko Petrikat | Amtsgericht Münster, HRB 21447</w:t>
      </w:r>
    </w:p>
    <w:p>
      <w:pPr>
        <w:jc w:val="left"/>
      </w:pPr>
      <w:r>
        <w:t>Dokument: BA-ALP-3.2-DE | Stand: Oktober 2025 | Auszug der Abschnitte 2, 5, 6 und 8</w:t>
      </w:r>
    </w:p>
    <w:p>
      <w:pPr>
        <w:jc w:val="left"/>
      </w:pPr>
      <w:r>
        <w:t>Übergeben an: Stadt Duisburg, Amt für Soziales und Teilhabe, mit Lieferung vom 10.11.2025</w:t>
      </w:r>
    </w:p>
    <w:p>
      <w:pPr>
        <w:jc w:val="left"/>
      </w:pPr>
      <w:r>
        <w:rPr>
          <w:i/>
        </w:rPr>
        <w:t>Exporthinweis: Endausgabe in Times New Roman, 11 pt, dezimale Gliederung.</w:t>
      </w:r>
    </w:p>
    <w:p>
      <w:pPr>
        <w:pStyle w:val="Heading2"/>
      </w:pPr>
      <w:r>
        <w:rPr>
          <w:rFonts w:ascii="Times New Roman" w:hAnsi="Times New Roman"/>
        </w:rPr>
        <w:t>2 Zweckbestimmung und Systemgrenzen</w:t>
      </w:r>
    </w:p>
    <w:p>
      <w:pPr>
        <w:pStyle w:val="Heading3"/>
      </w:pPr>
      <w:r>
        <w:rPr>
          <w:rFonts w:ascii="Times New Roman" w:hAnsi="Times New Roman"/>
        </w:rPr>
        <w:t>2.1 Zweckbestimmung</w:t>
      </w:r>
    </w:p>
    <w:p>
      <w:pPr>
        <w:jc w:val="left"/>
      </w:pPr>
      <w:r>
        <w:t>AntragsLotse Pro ist ein Unterstützungssystem zur Reihenfolgebildung und Verifikationssteuerung in der Bearbeitung von Sozialleistungsanträgen. Das System trifft keine Leistungsentscheidung. Jede Zuordnung zur Warteschlange „prüfintensiv" ist ein Vorschlag, der durch eine sachkundige Person geprüft, übernommen oder verworfen werden muss. Die Verantwortung für die Bearbeitungsreihenfolge und für die Leistungsentscheidung verbleibt vollständig bei der Betreiberin.</w:t>
      </w:r>
    </w:p>
    <w:p>
      <w:pPr>
        <w:pStyle w:val="Heading3"/>
      </w:pPr>
      <w:r>
        <w:rPr>
          <w:rFonts w:ascii="Times New Roman" w:hAnsi="Times New Roman"/>
        </w:rPr>
        <w:t>2.2 Einordnung nach der Verordnung (EU) 2024/1689</w:t>
      </w:r>
    </w:p>
    <w:p>
      <w:pPr>
        <w:jc w:val="left"/>
      </w:pPr>
      <w:r>
        <w:t>Der Hersteller stuft das System als Hochrisiko-KI-System nach Anhang III der Verordnung (EU) 2024/1689 ein [Normstand zu verifizieren]. Die Konformitätsdokumentation ist im Herstellerportal hinterlegt. Die Betreiberin hat das System ausschließlich entsprechend dieser Betriebsanleitung zu verwenden.</w:t>
      </w:r>
    </w:p>
    <w:p>
      <w:pPr>
        <w:pStyle w:val="Heading2"/>
      </w:pPr>
      <w:r>
        <w:rPr>
          <w:rFonts w:ascii="Times New Roman" w:hAnsi="Times New Roman"/>
        </w:rPr>
        <w:t>5 Regelwerke und Konfiguration</w:t>
      </w:r>
    </w:p>
    <w:p>
      <w:pPr>
        <w:pStyle w:val="Heading3"/>
      </w:pPr>
      <w:r>
        <w:rPr>
          <w:rFonts w:ascii="Times New Roman" w:hAnsi="Times New Roman"/>
        </w:rPr>
        <w:t>5.1 Standardregelwerk S-1</w:t>
      </w:r>
    </w:p>
    <w:p>
      <w:pPr>
        <w:jc w:val="left"/>
      </w:pPr>
      <w:r>
        <w:t>Im Auslieferungszustand ist das Standardregelwerk S-1 aktiv. Es bildet den Prioritäts-Score aus Antragsart, Vollständigkeit der Unterlagen, Fristnähe und Vorgangshistorie. Herkunftsbezogene Merkmale werden im Regelwerk S-1 nicht verarbeitet.</w:t>
      </w:r>
    </w:p>
    <w:p>
      <w:pPr>
        <w:pStyle w:val="Heading3"/>
      </w:pPr>
      <w:r>
        <w:rPr>
          <w:rFonts w:ascii="Times New Roman" w:hAnsi="Times New Roman"/>
        </w:rPr>
        <w:t>5.2 Legacy-Regelwerk R-7 (optional, deaktiviert)</w:t>
      </w:r>
    </w:p>
    <w:p>
      <w:pPr>
        <w:jc w:val="left"/>
      </w:pPr>
      <w:r>
        <w:t>Das optionale Legacy-Regelwerk R-7 („Dokumentenprüf-Index") erhöht den Score, wenn Nachweisdokumente voraussichtlich bei ausländischen Stellen zu verifizieren sind; hierzu verarbeitet R-7 unter anderem den Ausstellungsstaat der Urkunden und den im Antrag angegebenen Geburtsort. R-7 ist im Auslieferungszustand deaktiviert. Der Hersteller weist ausdrücklich darauf hin, dass die Aktivierung von R-7 nur zulässig ist, wenn die Betreiberin (a) das monatliche Fairness-Monitoring nach Abschnitt 8 aktiv betreibt, (b) die Auswirkungen auf Wartezeiten nach Gruppen auswertet und (c) die Aktivierung in ihrer Risikodokumentation begründet.</w:t>
      </w:r>
    </w:p>
    <w:p>
      <w:pPr>
        <w:pStyle w:val="Heading3"/>
      </w:pPr>
      <w:r>
        <w:rPr>
          <w:rFonts w:ascii="Times New Roman" w:hAnsi="Times New Roman"/>
        </w:rPr>
        <w:t>5.3 Protokollierung</w:t>
      </w:r>
    </w:p>
    <w:p>
      <w:pPr>
        <w:jc w:val="left"/>
      </w:pPr>
      <w:r>
        <w:t>Das System protokolliert automatisch jede Score-Vergabe, jede Warteschlangen-Zuordnung, jede manuelle Übersteuerung und jede Konfigurationsänderung. Die Protokolle sind von der Betreiberin für die Dauer der gesetzlichen Vorgaben, mindestens jedoch sechs Monate, aufzubewahren [Normstand zu verifizieren].</w:t>
      </w:r>
    </w:p>
    <w:p>
      <w:pPr>
        <w:pStyle w:val="Heading2"/>
      </w:pPr>
      <w:r>
        <w:rPr>
          <w:rFonts w:ascii="Times New Roman" w:hAnsi="Times New Roman"/>
        </w:rPr>
        <w:t>6 Menschliche Aufsicht</w:t>
      </w:r>
    </w:p>
    <w:p>
      <w:pPr>
        <w:pStyle w:val="Heading3"/>
      </w:pPr>
      <w:r>
        <w:rPr>
          <w:rFonts w:ascii="Times New Roman" w:hAnsi="Times New Roman"/>
        </w:rPr>
        <w:t>6.1 Anforderungen an das Personal</w:t>
      </w:r>
    </w:p>
    <w:p>
      <w:pPr>
        <w:jc w:val="left"/>
      </w:pPr>
      <w:r>
        <w:t>Das System darf nur von Personen bedient werden, die die Herstellerschulung (Modul 1: Systembedienung; Modul 2: Menschliche Aufsicht und Abweichen von Systemvorschlägen) absolviert haben. Die Betreiberin stellt sicher, dass die aufsichtführenden Personen die Grenzen des Systems kennen, Automatisierungsverzerrung (Automation Bias) aktiv entgegenwirken und befugt sind, Systemvorschläge zu verwerfen.</w:t>
      </w:r>
    </w:p>
    <w:p>
      <w:pPr>
        <w:pStyle w:val="Heading3"/>
      </w:pPr>
      <w:r>
        <w:rPr>
          <w:rFonts w:ascii="Times New Roman" w:hAnsi="Times New Roman"/>
        </w:rPr>
        <w:t>6.2 Prüfpflicht bei „prüfintensiv"</w:t>
      </w:r>
    </w:p>
    <w:p>
      <w:pPr>
        <w:jc w:val="left"/>
      </w:pPr>
      <w:r>
        <w:t>Jeder als „prüfintensiv" eingestufte Antrag ist binnen zehn Arbeitstagen nach Eingang durch eine geschulte Person inhaltlich zu sichten. Bestätigt die Sichtung den erhöhten Verifikationsbedarf nicht, ist der Antrag manuell in die Warteschlange „Standard" zurückzustufen. Ein ungeprüftes Belassen in der Warteschlange „prüfintensiv" ist eine bestimmungswidrige Verwendung.</w:t>
      </w:r>
    </w:p>
    <w:p>
      <w:pPr>
        <w:pStyle w:val="Heading2"/>
      </w:pPr>
      <w:r>
        <w:rPr>
          <w:rFonts w:ascii="Times New Roman" w:hAnsi="Times New Roman"/>
        </w:rPr>
        <w:t>8 Fairness-Monitoring</w:t>
      </w:r>
    </w:p>
    <w:p>
      <w:pPr>
        <w:jc w:val="left"/>
      </w:pPr>
      <w:r>
        <w:t>Die Betreiberin hat monatlich den Monitoring-Bericht des Systems abzurufen und die mittleren Wartezeiten sowie die Warteschlangen-Anteile nach den von ihr festgelegten Vergleichsgruppen auszuwerten. Überschreitet die Differenz der mittleren Wartezeiten zweier Vergleichsgruppen 25 Prozent, ist die Konfiguration zu überprüfen und der Hersteller zu informieren. Der Hersteller stellt hierfür die Exportfunktion „Priorisierungslog" (CSV) bereit.</w:t>
      </w:r>
    </w:p>
    <w:p>
      <w:pPr>
        <w:jc w:val="left"/>
      </w:pPr>
      <w:r>
        <w:t>— Ende des Auszugs —</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Civitas Software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2C5230"/>
        <w:sz w:val="24"/>
      </w:rPr>
      <w:t>Civitas Software GmbH</w:t>
    </w:r>
  </w:p>
  <w:p>
    <w:pPr>
      <w:jc w:val="left"/>
      <w:pBdr>
        <w:bottom w:val="single" w:sz="6" w:space="2" w:color="2C5230"/>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